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DBCA8" w14:textId="77777777" w:rsidR="00F26F72" w:rsidRPr="00204D75" w:rsidRDefault="00762AA8">
      <w:pPr>
        <w:rPr>
          <w:rFonts w:ascii="Arial" w:hAnsi="Arial" w:cs="Arial"/>
        </w:rPr>
      </w:pPr>
      <w:bookmarkStart w:id="0" w:name="_GoBack"/>
      <w:bookmarkEnd w:id="0"/>
      <w:r>
        <w:rPr>
          <w:noProof/>
        </w:rPr>
        <w:drawing>
          <wp:anchor distT="0" distB="0" distL="114300" distR="114300" simplePos="0" relativeHeight="251658240" behindDoc="1" locked="0" layoutInCell="1" allowOverlap="1" wp14:anchorId="0A3BE8E9" wp14:editId="3762F70E">
            <wp:simplePos x="0" y="0"/>
            <wp:positionH relativeFrom="column">
              <wp:posOffset>-557221</wp:posOffset>
            </wp:positionH>
            <wp:positionV relativeFrom="paragraph">
              <wp:posOffset>-556260</wp:posOffset>
            </wp:positionV>
            <wp:extent cx="7037994" cy="930487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etterhead Templat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037994" cy="9304870"/>
                    </a:xfrm>
                    <a:prstGeom prst="rect">
                      <a:avLst/>
                    </a:prstGeom>
                    <a:noFill/>
                  </pic:spPr>
                </pic:pic>
              </a:graphicData>
            </a:graphic>
            <wp14:sizeRelH relativeFrom="page">
              <wp14:pctWidth>0</wp14:pctWidth>
            </wp14:sizeRelH>
            <wp14:sizeRelV relativeFrom="page">
              <wp14:pctHeight>0</wp14:pctHeight>
            </wp14:sizeRelV>
          </wp:anchor>
        </w:drawing>
      </w:r>
    </w:p>
    <w:p w14:paraId="6AAB68BF" w14:textId="77777777" w:rsidR="00F26F72" w:rsidRPr="00204D75" w:rsidRDefault="00762AA8">
      <w:pPr>
        <w:spacing w:after="200" w:line="276" w:lineRule="auto"/>
        <w:rPr>
          <w:rFonts w:ascii="Arial" w:hAnsi="Arial" w:cs="Arial"/>
          <w:noProof/>
        </w:rPr>
      </w:pPr>
      <w:r>
        <w:rPr>
          <w:rFonts w:ascii="Arial" w:hAnsi="Arial" w:cs="Arial"/>
          <w:noProof/>
        </w:rPr>
        <mc:AlternateContent>
          <mc:Choice Requires="wps">
            <w:drawing>
              <wp:anchor distT="0" distB="0" distL="114300" distR="114300" simplePos="0" relativeHeight="251657216" behindDoc="0" locked="0" layoutInCell="1" allowOverlap="1" wp14:anchorId="6AACA7B4" wp14:editId="7CAA9980">
                <wp:simplePos x="0" y="0"/>
                <wp:positionH relativeFrom="column">
                  <wp:posOffset>873760</wp:posOffset>
                </wp:positionH>
                <wp:positionV relativeFrom="paragraph">
                  <wp:posOffset>575945</wp:posOffset>
                </wp:positionV>
                <wp:extent cx="5431790" cy="712470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712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B6DA3" w14:textId="77777777" w:rsidR="00E21B0A" w:rsidRDefault="00E21B0A" w:rsidP="00E21B0A">
                            <w:pPr>
                              <w:rPr>
                                <w:rFonts w:ascii="Arial" w:hAnsi="Arial" w:cs="Arial"/>
                                <w:color w:val="000000"/>
                              </w:rPr>
                            </w:pPr>
                          </w:p>
                          <w:p w14:paraId="102DB8B6" w14:textId="77777777" w:rsidR="00E21B0A" w:rsidRDefault="00E21B0A" w:rsidP="00E21B0A">
                            <w:pPr>
                              <w:rPr>
                                <w:rFonts w:ascii="Arial" w:hAnsi="Arial" w:cs="Arial"/>
                                <w:color w:val="000000"/>
                              </w:rPr>
                            </w:pPr>
                          </w:p>
                          <w:p w14:paraId="26C0CA59" w14:textId="14A16752" w:rsidR="00E21B0A" w:rsidRDefault="00E21B0A" w:rsidP="00E21B0A">
                            <w:pPr>
                              <w:rPr>
                                <w:rFonts w:ascii="Arial" w:hAnsi="Arial" w:cs="Arial"/>
                                <w:color w:val="000000"/>
                              </w:rPr>
                            </w:pPr>
                            <w:r>
                              <w:rPr>
                                <w:rFonts w:ascii="Arial" w:hAnsi="Arial" w:cs="Arial"/>
                                <w:color w:val="000000"/>
                              </w:rPr>
                              <w:t>August 9, 2021</w:t>
                            </w:r>
                          </w:p>
                          <w:p w14:paraId="0F0583FE" w14:textId="61A55A86" w:rsidR="00E21B0A" w:rsidRDefault="00E21B0A" w:rsidP="00E21B0A">
                            <w:pPr>
                              <w:rPr>
                                <w:rFonts w:ascii="Arial" w:hAnsi="Arial" w:cs="Arial"/>
                                <w:color w:val="000000"/>
                              </w:rPr>
                            </w:pPr>
                          </w:p>
                          <w:p w14:paraId="1F8EA9D0" w14:textId="3F154FF4" w:rsidR="00E21B0A" w:rsidRDefault="00E21B0A" w:rsidP="00E21B0A">
                            <w:pPr>
                              <w:rPr>
                                <w:rFonts w:ascii="Arial" w:hAnsi="Arial" w:cs="Arial"/>
                                <w:color w:val="000000"/>
                              </w:rPr>
                            </w:pPr>
                          </w:p>
                          <w:p w14:paraId="2FA910BE" w14:textId="429191AB" w:rsidR="00E21B0A" w:rsidRDefault="00E21B0A" w:rsidP="00E21B0A">
                            <w:pPr>
                              <w:rPr>
                                <w:rFonts w:ascii="Arial" w:hAnsi="Arial" w:cs="Arial"/>
                                <w:i/>
                                <w:iCs/>
                                <w:color w:val="000000"/>
                              </w:rPr>
                            </w:pPr>
                            <w:r>
                              <w:rPr>
                                <w:rFonts w:ascii="Arial" w:hAnsi="Arial" w:cs="Arial"/>
                                <w:i/>
                                <w:iCs/>
                                <w:color w:val="000000"/>
                              </w:rPr>
                              <w:t>Comments sent electronically via regulations.gov</w:t>
                            </w:r>
                          </w:p>
                          <w:p w14:paraId="2197F670" w14:textId="5DD5F4B0" w:rsidR="00E21B0A" w:rsidRDefault="00E21B0A" w:rsidP="00E21B0A">
                            <w:pPr>
                              <w:rPr>
                                <w:rFonts w:ascii="Arial" w:hAnsi="Arial" w:cs="Arial"/>
                                <w:i/>
                                <w:iCs/>
                                <w:color w:val="000000"/>
                              </w:rPr>
                            </w:pPr>
                          </w:p>
                          <w:p w14:paraId="7418E125" w14:textId="1F36501E" w:rsidR="00E21B0A" w:rsidRPr="00E21B0A" w:rsidRDefault="00E21B0A" w:rsidP="00E21B0A">
                            <w:pPr>
                              <w:rPr>
                                <w:rFonts w:ascii="Arial" w:hAnsi="Arial" w:cs="Arial"/>
                                <w:b/>
                                <w:bCs/>
                                <w:color w:val="000000"/>
                              </w:rPr>
                            </w:pPr>
                            <w:r>
                              <w:rPr>
                                <w:rFonts w:ascii="Arial" w:hAnsi="Arial" w:cs="Arial"/>
                                <w:b/>
                                <w:bCs/>
                                <w:color w:val="000000"/>
                              </w:rPr>
                              <w:t>Re: Food and Drug Administration (FDA) public workshop and request for comments: “Morphine Milligram Equivalents: Current Applications and Knowledge Gaps, Research Opportunities, and Future Directions.”</w:t>
                            </w:r>
                          </w:p>
                          <w:p w14:paraId="4A15CEC2" w14:textId="77777777" w:rsidR="00E21B0A" w:rsidRDefault="00E21B0A" w:rsidP="00E21B0A">
                            <w:pPr>
                              <w:rPr>
                                <w:rFonts w:ascii="Arial" w:hAnsi="Arial" w:cs="Arial"/>
                                <w:color w:val="000000"/>
                              </w:rPr>
                            </w:pPr>
                          </w:p>
                          <w:p w14:paraId="348E332D" w14:textId="01AC4AD8" w:rsidR="00E21B0A" w:rsidRPr="00CC4DAA" w:rsidRDefault="00E21B0A" w:rsidP="00E21B0A">
                            <w:pPr>
                              <w:rPr>
                                <w:rFonts w:ascii="Arial" w:hAnsi="Arial" w:cs="Arial"/>
                                <w:color w:val="000000"/>
                              </w:rPr>
                            </w:pPr>
                            <w:r w:rsidRPr="00CC4DAA">
                              <w:rPr>
                                <w:rFonts w:ascii="Arial" w:hAnsi="Arial" w:cs="Arial"/>
                                <w:color w:val="000000"/>
                              </w:rPr>
                              <w:t xml:space="preserve">We write this letter on behalf of the National Council on Independent Living (NCIL), </w:t>
                            </w:r>
                            <w:r>
                              <w:rPr>
                                <w:rFonts w:ascii="Arial" w:hAnsi="Arial"/>
                              </w:rPr>
                              <w:t xml:space="preserve">the nation’s longest-running national cross-disability, grassroots organization run by and for people with disabilities. </w:t>
                            </w:r>
                            <w:r w:rsidRPr="00CC4DAA">
                              <w:rPr>
                                <w:rFonts w:ascii="Arial" w:hAnsi="Arial" w:cs="Arial"/>
                                <w:color w:val="000000"/>
                              </w:rPr>
                              <w:t>NCIL represents thousands of individuals with disabilities and organizations including Centers for Independent Living (CILs), Statewide Independent Living Councils (SILCs), and other organizations that advocate for the human and civil rights of people with disabilities throughout the US.</w:t>
                            </w:r>
                          </w:p>
                          <w:p w14:paraId="4E4E04A9" w14:textId="77777777" w:rsidR="00E21B0A" w:rsidRPr="00CC4DAA" w:rsidRDefault="00E21B0A" w:rsidP="00E21B0A">
                            <w:pPr>
                              <w:rPr>
                                <w:rFonts w:ascii="Arial" w:hAnsi="Arial" w:cs="Arial"/>
                              </w:rPr>
                            </w:pPr>
                          </w:p>
                          <w:p w14:paraId="2215B3E5" w14:textId="77777777" w:rsidR="00E21B0A" w:rsidRPr="00CC4DAA" w:rsidRDefault="00E21B0A" w:rsidP="00E21B0A">
                            <w:pPr>
                              <w:pStyle w:val="NormalWeb"/>
                              <w:spacing w:before="0" w:beforeAutospacing="0" w:after="0" w:afterAutospacing="0"/>
                              <w:rPr>
                                <w:rFonts w:ascii="Arial" w:hAnsi="Arial" w:cs="Arial"/>
                                <w:sz w:val="24"/>
                                <w:szCs w:val="24"/>
                              </w:rPr>
                            </w:pPr>
                            <w:r w:rsidRPr="00CC4DAA">
                              <w:rPr>
                                <w:rFonts w:ascii="Arial" w:hAnsi="Arial" w:cs="Arial"/>
                                <w:sz w:val="24"/>
                                <w:szCs w:val="24"/>
                              </w:rPr>
                              <w:t xml:space="preserve">As an organization </w:t>
                            </w:r>
                            <w:r>
                              <w:rPr>
                                <w:rFonts w:ascii="Arial" w:hAnsi="Arial" w:cs="Arial"/>
                                <w:sz w:val="24"/>
                                <w:szCs w:val="24"/>
                              </w:rPr>
                              <w:t xml:space="preserve">working to </w:t>
                            </w:r>
                            <w:r w:rsidRPr="00CC4DAA">
                              <w:rPr>
                                <w:rFonts w:ascii="Arial" w:hAnsi="Arial" w:cs="Arial"/>
                                <w:sz w:val="24"/>
                                <w:szCs w:val="24"/>
                              </w:rPr>
                              <w:t xml:space="preserve">represent </w:t>
                            </w:r>
                            <w:r>
                              <w:rPr>
                                <w:rFonts w:ascii="Arial" w:hAnsi="Arial" w:cs="Arial"/>
                                <w:sz w:val="24"/>
                                <w:szCs w:val="24"/>
                              </w:rPr>
                              <w:t xml:space="preserve">the 61 million </w:t>
                            </w:r>
                            <w:r w:rsidRPr="00CC4DAA">
                              <w:rPr>
                                <w:rFonts w:ascii="Arial" w:hAnsi="Arial" w:cs="Arial"/>
                                <w:sz w:val="24"/>
                                <w:szCs w:val="24"/>
                              </w:rPr>
                              <w:t>people with disabilities across the country, many who live with chronic pain, NCIL works to protect the rights of people with chronic pain. Our work in this area began as efforts to address the opioid crisis ramped up in the US, and we saw people with chronic pain left out of these efforts and harmed as a result.</w:t>
                            </w:r>
                          </w:p>
                          <w:p w14:paraId="35A30C44" w14:textId="77777777" w:rsidR="00E21B0A" w:rsidRPr="00CC4DAA" w:rsidRDefault="00E21B0A" w:rsidP="00E21B0A">
                            <w:pPr>
                              <w:autoSpaceDE w:val="0"/>
                              <w:autoSpaceDN w:val="0"/>
                              <w:adjustRightInd w:val="0"/>
                              <w:rPr>
                                <w:rFonts w:ascii="Arial" w:hAnsi="Arial" w:cs="Arial"/>
                              </w:rPr>
                            </w:pPr>
                          </w:p>
                          <w:p w14:paraId="4B1A6FC2" w14:textId="77777777" w:rsidR="00E21B0A" w:rsidRPr="00CC4DAA" w:rsidRDefault="00E21B0A" w:rsidP="00E21B0A">
                            <w:pPr>
                              <w:autoSpaceDE w:val="0"/>
                              <w:autoSpaceDN w:val="0"/>
                              <w:adjustRightInd w:val="0"/>
                              <w:rPr>
                                <w:rFonts w:ascii="Arial" w:hAnsi="Arial" w:cs="Arial"/>
                              </w:rPr>
                            </w:pPr>
                            <w:r w:rsidRPr="00CC4DAA">
                              <w:rPr>
                                <w:rFonts w:ascii="Arial" w:hAnsi="Arial" w:cs="Arial"/>
                              </w:rPr>
                              <w:t>We thank the U.S. Food and Drug Administration for inviting comments on the science underlying the MME (morphine milligram equivalent) measure.</w:t>
                            </w:r>
                          </w:p>
                          <w:p w14:paraId="503E4443" w14:textId="77777777" w:rsidR="00E21B0A" w:rsidRDefault="00E21B0A" w:rsidP="00E21B0A">
                            <w:pPr>
                              <w:rPr>
                                <w:rFonts w:ascii="Arial" w:hAnsi="Arial" w:cs="Arial"/>
                              </w:rPr>
                            </w:pPr>
                          </w:p>
                          <w:p w14:paraId="7FCD8F8F" w14:textId="22F92C5B" w:rsidR="00E21B0A" w:rsidRDefault="00E21B0A" w:rsidP="00E21B0A">
                            <w:pPr>
                              <w:rPr>
                                <w:rFonts w:ascii="Arial" w:hAnsi="Arial" w:cs="Arial"/>
                                <w:color w:val="000000"/>
                              </w:rPr>
                            </w:pPr>
                            <w:r>
                              <w:rPr>
                                <w:rFonts w:ascii="Arial" w:hAnsi="Arial" w:cs="Arial"/>
                                <w:color w:val="000000" w:themeColor="text1"/>
                              </w:rPr>
                              <w:t>We are particularly concerned about the gaps and limitations in data surrounding morphine milligram equivalents (MMEs),</w:t>
                            </w:r>
                            <w:r w:rsidRPr="001C70D4">
                              <w:rPr>
                                <w:rFonts w:ascii="Arial" w:hAnsi="Arial" w:cs="Arial"/>
                                <w:color w:val="000000" w:themeColor="text1"/>
                              </w:rPr>
                              <w:t xml:space="preserve"> </w:t>
                            </w:r>
                            <w:r>
                              <w:rPr>
                                <w:rFonts w:ascii="Arial" w:hAnsi="Arial" w:cs="Arial"/>
                                <w:color w:val="000000" w:themeColor="text1"/>
                              </w:rPr>
                              <w:t xml:space="preserve">including, but not limited to, the significant variability in how they are calculated and the variability in metabolism based on genetic or other factors. MMEs have become an increasingly important metric used frequently to change or deny treatment, </w:t>
                            </w:r>
                          </w:p>
                          <w:p w14:paraId="37CFC008" w14:textId="77777777" w:rsidR="00F26F72" w:rsidRPr="00767DD8" w:rsidRDefault="00F26F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ACA7B4" id="_x0000_t202" coordsize="21600,21600" o:spt="202" path="m,l,21600r21600,l21600,xe">
                <v:stroke joinstyle="miter"/>
                <v:path gradientshapeok="t" o:connecttype="rect"/>
              </v:shapetype>
              <v:shape id="Text Box 2" o:spid="_x0000_s1026" type="#_x0000_t202" style="position:absolute;margin-left:68.8pt;margin-top:45.35pt;width:427.7pt;height:5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" stroked="f">
                <v:textbox>
                  <w:txbxContent>
                    <w:p w14:paraId="5E4B6DA3" w14:textId="77777777" w:rsidR="00E21B0A" w:rsidRDefault="00E21B0A" w:rsidP="00E21B0A">
                      <w:pPr>
                        <w:rPr>
                          <w:rFonts w:ascii="Arial" w:hAnsi="Arial" w:cs="Arial"/>
                          <w:color w:val="000000"/>
                        </w:rPr>
                      </w:pPr>
                    </w:p>
                    <w:p w14:paraId="102DB8B6" w14:textId="77777777" w:rsidR="00E21B0A" w:rsidRDefault="00E21B0A" w:rsidP="00E21B0A">
                      <w:pPr>
                        <w:rPr>
                          <w:rFonts w:ascii="Arial" w:hAnsi="Arial" w:cs="Arial"/>
                          <w:color w:val="000000"/>
                        </w:rPr>
                      </w:pPr>
                    </w:p>
                    <w:p w14:paraId="26C0CA59" w14:textId="14A16752" w:rsidR="00E21B0A" w:rsidRDefault="00E21B0A" w:rsidP="00E21B0A">
                      <w:pPr>
                        <w:rPr>
                          <w:rFonts w:ascii="Arial" w:hAnsi="Arial" w:cs="Arial"/>
                          <w:color w:val="000000"/>
                        </w:rPr>
                      </w:pPr>
                      <w:r>
                        <w:rPr>
                          <w:rFonts w:ascii="Arial" w:hAnsi="Arial" w:cs="Arial"/>
                          <w:color w:val="000000"/>
                        </w:rPr>
                        <w:t>August 9, 2021</w:t>
                      </w:r>
                    </w:p>
                    <w:p w14:paraId="0F0583FE" w14:textId="61A55A86" w:rsidR="00E21B0A" w:rsidRDefault="00E21B0A" w:rsidP="00E21B0A">
                      <w:pPr>
                        <w:rPr>
                          <w:rFonts w:ascii="Arial" w:hAnsi="Arial" w:cs="Arial"/>
                          <w:color w:val="000000"/>
                        </w:rPr>
                      </w:pPr>
                    </w:p>
                    <w:p w14:paraId="1F8EA9D0" w14:textId="3F154FF4" w:rsidR="00E21B0A" w:rsidRDefault="00E21B0A" w:rsidP="00E21B0A">
                      <w:pPr>
                        <w:rPr>
                          <w:rFonts w:ascii="Arial" w:hAnsi="Arial" w:cs="Arial"/>
                          <w:color w:val="000000"/>
                        </w:rPr>
                      </w:pPr>
                    </w:p>
                    <w:p w14:paraId="2FA910BE" w14:textId="429191AB" w:rsidR="00E21B0A" w:rsidRDefault="00E21B0A" w:rsidP="00E21B0A">
                      <w:pPr>
                        <w:rPr>
                          <w:rFonts w:ascii="Arial" w:hAnsi="Arial" w:cs="Arial"/>
                          <w:i/>
                          <w:iCs/>
                          <w:color w:val="000000"/>
                        </w:rPr>
                      </w:pPr>
                      <w:r>
                        <w:rPr>
                          <w:rFonts w:ascii="Arial" w:hAnsi="Arial" w:cs="Arial"/>
                          <w:i/>
                          <w:iCs/>
                          <w:color w:val="000000"/>
                        </w:rPr>
                        <w:t>Comments sent electronically via regulations.gov</w:t>
                      </w:r>
                    </w:p>
                    <w:p w14:paraId="2197F670" w14:textId="5DD5F4B0" w:rsidR="00E21B0A" w:rsidRDefault="00E21B0A" w:rsidP="00E21B0A">
                      <w:pPr>
                        <w:rPr>
                          <w:rFonts w:ascii="Arial" w:hAnsi="Arial" w:cs="Arial"/>
                          <w:i/>
                          <w:iCs/>
                          <w:color w:val="000000"/>
                        </w:rPr>
                      </w:pPr>
                    </w:p>
                    <w:p w14:paraId="7418E125" w14:textId="1F36501E" w:rsidR="00E21B0A" w:rsidRPr="00E21B0A" w:rsidRDefault="00E21B0A" w:rsidP="00E21B0A">
                      <w:pPr>
                        <w:rPr>
                          <w:rFonts w:ascii="Arial" w:hAnsi="Arial" w:cs="Arial"/>
                          <w:b/>
                          <w:bCs/>
                          <w:color w:val="000000"/>
                        </w:rPr>
                      </w:pPr>
                      <w:r>
                        <w:rPr>
                          <w:rFonts w:ascii="Arial" w:hAnsi="Arial" w:cs="Arial"/>
                          <w:b/>
                          <w:bCs/>
                          <w:color w:val="000000"/>
                        </w:rPr>
                        <w:t>Re: Food and Drug Administration (FDA) public workshop and request for comments: “Morphine Milligram Equivalents: Current Applications and Knowledge Gaps, Research Opportunities, and Future Directions.”</w:t>
                      </w:r>
                    </w:p>
                    <w:p w14:paraId="4A15CEC2" w14:textId="77777777" w:rsidR="00E21B0A" w:rsidRDefault="00E21B0A" w:rsidP="00E21B0A">
                      <w:pPr>
                        <w:rPr>
                          <w:rFonts w:ascii="Arial" w:hAnsi="Arial" w:cs="Arial"/>
                          <w:color w:val="000000"/>
                        </w:rPr>
                      </w:pPr>
                    </w:p>
                    <w:p w14:paraId="348E332D" w14:textId="01AC4AD8" w:rsidR="00E21B0A" w:rsidRPr="00CC4DAA" w:rsidRDefault="00E21B0A" w:rsidP="00E21B0A">
                      <w:pPr>
                        <w:rPr>
                          <w:rFonts w:ascii="Arial" w:hAnsi="Arial" w:cs="Arial"/>
                          <w:color w:val="000000"/>
                        </w:rPr>
                      </w:pPr>
                      <w:r w:rsidRPr="00CC4DAA">
                        <w:rPr>
                          <w:rFonts w:ascii="Arial" w:hAnsi="Arial" w:cs="Arial"/>
                          <w:color w:val="000000"/>
                        </w:rPr>
                        <w:t xml:space="preserve">We write this letter on behalf of the National Council on Independent Living (NCIL), </w:t>
                      </w:r>
                      <w:r>
                        <w:rPr>
                          <w:rFonts w:ascii="Arial" w:hAnsi="Arial"/>
                        </w:rPr>
                        <w:t xml:space="preserve">the nation’s longest-running national cross-disability, grassroots organization run by and for people with disabilities. </w:t>
                      </w:r>
                      <w:r w:rsidRPr="00CC4DAA">
                        <w:rPr>
                          <w:rFonts w:ascii="Arial" w:hAnsi="Arial" w:cs="Arial"/>
                          <w:color w:val="000000"/>
                        </w:rPr>
                        <w:t>NCIL represents thousands of individuals with disabilities and organizations including Centers for Independent Living (CILs), Statewide Independent Living Councils (SILCs), and other organizations that advocate for the human and civil rights of people with disabilities throughout the US.</w:t>
                      </w:r>
                    </w:p>
                    <w:p w14:paraId="4E4E04A9" w14:textId="77777777" w:rsidR="00E21B0A" w:rsidRPr="00CC4DAA" w:rsidRDefault="00E21B0A" w:rsidP="00E21B0A">
                      <w:pPr>
                        <w:rPr>
                          <w:rFonts w:ascii="Arial" w:hAnsi="Arial" w:cs="Arial"/>
                        </w:rPr>
                      </w:pPr>
                    </w:p>
                    <w:p w14:paraId="2215B3E5" w14:textId="77777777" w:rsidR="00E21B0A" w:rsidRPr="00CC4DAA" w:rsidRDefault="00E21B0A" w:rsidP="00E21B0A">
                      <w:pPr>
                        <w:pStyle w:val="NormalWeb"/>
                        <w:spacing w:before="0" w:beforeAutospacing="0" w:after="0" w:afterAutospacing="0"/>
                        <w:rPr>
                          <w:rFonts w:ascii="Arial" w:hAnsi="Arial" w:cs="Arial"/>
                          <w:sz w:val="24"/>
                          <w:szCs w:val="24"/>
                        </w:rPr>
                      </w:pPr>
                      <w:r w:rsidRPr="00CC4DAA">
                        <w:rPr>
                          <w:rFonts w:ascii="Arial" w:hAnsi="Arial" w:cs="Arial"/>
                          <w:sz w:val="24"/>
                          <w:szCs w:val="24"/>
                        </w:rPr>
                        <w:t xml:space="preserve">As an organization </w:t>
                      </w:r>
                      <w:r>
                        <w:rPr>
                          <w:rFonts w:ascii="Arial" w:hAnsi="Arial" w:cs="Arial"/>
                          <w:sz w:val="24"/>
                          <w:szCs w:val="24"/>
                        </w:rPr>
                        <w:t xml:space="preserve">working to </w:t>
                      </w:r>
                      <w:r w:rsidRPr="00CC4DAA">
                        <w:rPr>
                          <w:rFonts w:ascii="Arial" w:hAnsi="Arial" w:cs="Arial"/>
                          <w:sz w:val="24"/>
                          <w:szCs w:val="24"/>
                        </w:rPr>
                        <w:t xml:space="preserve">represent </w:t>
                      </w:r>
                      <w:r>
                        <w:rPr>
                          <w:rFonts w:ascii="Arial" w:hAnsi="Arial" w:cs="Arial"/>
                          <w:sz w:val="24"/>
                          <w:szCs w:val="24"/>
                        </w:rPr>
                        <w:t xml:space="preserve">the 61 million </w:t>
                      </w:r>
                      <w:r w:rsidRPr="00CC4DAA">
                        <w:rPr>
                          <w:rFonts w:ascii="Arial" w:hAnsi="Arial" w:cs="Arial"/>
                          <w:sz w:val="24"/>
                          <w:szCs w:val="24"/>
                        </w:rPr>
                        <w:t>people with disabilities across the country, many who live with chronic pain, NCIL works to protect the rights of people with chronic pain. Our work in this area began as efforts to address the opioid crisis ramped up in the US, and we saw people with chronic pain left out of these efforts and harmed as a result.</w:t>
                      </w:r>
                    </w:p>
                    <w:p w14:paraId="35A30C44" w14:textId="77777777" w:rsidR="00E21B0A" w:rsidRPr="00CC4DAA" w:rsidRDefault="00E21B0A" w:rsidP="00E21B0A">
                      <w:pPr>
                        <w:autoSpaceDE w:val="0"/>
                        <w:autoSpaceDN w:val="0"/>
                        <w:adjustRightInd w:val="0"/>
                        <w:rPr>
                          <w:rFonts w:ascii="Arial" w:hAnsi="Arial" w:cs="Arial"/>
                        </w:rPr>
                      </w:pPr>
                    </w:p>
                    <w:p w14:paraId="4B1A6FC2" w14:textId="77777777" w:rsidR="00E21B0A" w:rsidRPr="00CC4DAA" w:rsidRDefault="00E21B0A" w:rsidP="00E21B0A">
                      <w:pPr>
                        <w:autoSpaceDE w:val="0"/>
                        <w:autoSpaceDN w:val="0"/>
                        <w:adjustRightInd w:val="0"/>
                        <w:rPr>
                          <w:rFonts w:ascii="Arial" w:hAnsi="Arial" w:cs="Arial"/>
                        </w:rPr>
                      </w:pPr>
                      <w:r w:rsidRPr="00CC4DAA">
                        <w:rPr>
                          <w:rFonts w:ascii="Arial" w:hAnsi="Arial" w:cs="Arial"/>
                        </w:rPr>
                        <w:t>We thank the U.S. Food and Drug Administration for inviting comments on the science underlying the MME (morphine milligram equivalent) measure.</w:t>
                      </w:r>
                    </w:p>
                    <w:p w14:paraId="503E4443" w14:textId="77777777" w:rsidR="00E21B0A" w:rsidRDefault="00E21B0A" w:rsidP="00E21B0A">
                      <w:pPr>
                        <w:rPr>
                          <w:rFonts w:ascii="Arial" w:hAnsi="Arial" w:cs="Arial"/>
                        </w:rPr>
                      </w:pPr>
                    </w:p>
                    <w:p w14:paraId="7FCD8F8F" w14:textId="22F92C5B" w:rsidR="00E21B0A" w:rsidRDefault="00E21B0A" w:rsidP="00E21B0A">
                      <w:pPr>
                        <w:rPr>
                          <w:rFonts w:ascii="Arial" w:hAnsi="Arial" w:cs="Arial"/>
                          <w:color w:val="000000"/>
                        </w:rPr>
                      </w:pPr>
                      <w:r>
                        <w:rPr>
                          <w:rFonts w:ascii="Arial" w:hAnsi="Arial" w:cs="Arial"/>
                          <w:color w:val="000000" w:themeColor="text1"/>
                        </w:rPr>
                        <w:t>We are particularly concerned about the gaps and limitations in data surrounding morphine milligram equivalents (MMEs),</w:t>
                      </w:r>
                      <w:r w:rsidRPr="001C70D4">
                        <w:rPr>
                          <w:rFonts w:ascii="Arial" w:hAnsi="Arial" w:cs="Arial"/>
                          <w:color w:val="000000" w:themeColor="text1"/>
                        </w:rPr>
                        <w:t xml:space="preserve"> </w:t>
                      </w:r>
                      <w:r>
                        <w:rPr>
                          <w:rFonts w:ascii="Arial" w:hAnsi="Arial" w:cs="Arial"/>
                          <w:color w:val="000000" w:themeColor="text1"/>
                        </w:rPr>
                        <w:t xml:space="preserve">including, but not limited to, the significant variability in how they are calculated and the variability in metabolism based on genetic or other factors. MMEs have become an increasingly important metric used frequently to change or deny treatment, </w:t>
                      </w:r>
                    </w:p>
                    <w:p w14:paraId="37CFC008" w14:textId="77777777" w:rsidR="00F26F72" w:rsidRPr="00767DD8" w:rsidRDefault="00F26F72">
                      <w:pPr>
                        <w:rPr>
                          <w:rFonts w:ascii="Arial" w:hAnsi="Arial" w:cs="Arial"/>
                        </w:rPr>
                      </w:pPr>
                    </w:p>
                  </w:txbxContent>
                </v:textbox>
              </v:shape>
            </w:pict>
          </mc:Fallback>
        </mc:AlternateContent>
      </w:r>
      <w:r w:rsidR="00F26F72" w:rsidRPr="00204D75">
        <w:rPr>
          <w:rFonts w:ascii="Arial" w:hAnsi="Arial" w:cs="Arial"/>
          <w:noProof/>
        </w:rPr>
        <w:br w:type="page"/>
      </w:r>
    </w:p>
    <w:p w14:paraId="4CDE60FF" w14:textId="3D12127C" w:rsidR="009F3FC3" w:rsidRDefault="00E21B0A">
      <w:pPr>
        <w:rPr>
          <w:rFonts w:ascii="Arial" w:hAnsi="Arial" w:cs="Arial"/>
          <w:color w:val="000000"/>
        </w:rPr>
      </w:pPr>
      <w:r>
        <w:rPr>
          <w:rFonts w:ascii="Arial" w:hAnsi="Arial" w:cs="Arial"/>
          <w:color w:val="000000" w:themeColor="text1"/>
        </w:rPr>
        <w:lastRenderedPageBreak/>
        <w:t xml:space="preserve">despite the American Medical Association stating that </w:t>
      </w:r>
      <w:r w:rsidRPr="00484FE3">
        <w:rPr>
          <w:rFonts w:ascii="Arial" w:hAnsi="Arial" w:cs="Arial"/>
          <w:color w:val="000000"/>
        </w:rPr>
        <w:t>“no entity should use MME (morphine milligram equivalents) as anything more than guidance.”</w:t>
      </w:r>
      <w:r w:rsidRPr="00484FE3">
        <w:rPr>
          <w:rStyle w:val="FootnoteReference"/>
          <w:rFonts w:ascii="Arial" w:hAnsi="Arial" w:cs="Arial"/>
          <w:color w:val="000000"/>
        </w:rPr>
        <w:footnoteRef/>
      </w:r>
    </w:p>
    <w:p w14:paraId="795BE28E" w14:textId="550F54AD" w:rsidR="00E21B0A" w:rsidRDefault="00E21B0A">
      <w:pPr>
        <w:rPr>
          <w:rFonts w:ascii="Arial" w:hAnsi="Arial" w:cs="Arial"/>
          <w:color w:val="000000"/>
        </w:rPr>
      </w:pPr>
    </w:p>
    <w:p w14:paraId="6C132229" w14:textId="77777777" w:rsidR="00E21B0A" w:rsidRDefault="00E21B0A" w:rsidP="00E21B0A">
      <w:pPr>
        <w:rPr>
          <w:rFonts w:ascii="Arial" w:hAnsi="Arial" w:cs="Arial"/>
        </w:rPr>
      </w:pPr>
      <w:r>
        <w:rPr>
          <w:rFonts w:ascii="Arial" w:hAnsi="Arial" w:cs="Arial"/>
        </w:rPr>
        <w:t>At</w:t>
      </w:r>
      <w:r w:rsidRPr="00C15771">
        <w:rPr>
          <w:rFonts w:ascii="Arial" w:hAnsi="Arial" w:cs="Arial"/>
        </w:rPr>
        <w:t xml:space="preserve"> the </w:t>
      </w:r>
      <w:r>
        <w:rPr>
          <w:rFonts w:ascii="Arial" w:hAnsi="Arial" w:cs="Arial"/>
        </w:rPr>
        <w:t xml:space="preserve">June 7-8 </w:t>
      </w:r>
      <w:r w:rsidRPr="00C15771">
        <w:rPr>
          <w:rFonts w:ascii="Arial" w:hAnsi="Arial" w:cs="Arial"/>
        </w:rPr>
        <w:t>meeting “Morphine</w:t>
      </w:r>
      <w:r w:rsidRPr="00014FA4">
        <w:rPr>
          <w:rFonts w:ascii="Arial" w:hAnsi="Arial" w:cs="Arial"/>
        </w:rPr>
        <w:t xml:space="preserve"> Milligram Equivalents: Current Applications and Knowledge Gaps, Research Opportunities, and Future Directions</w:t>
      </w:r>
      <w:r>
        <w:rPr>
          <w:rFonts w:ascii="Arial" w:hAnsi="Arial" w:cs="Arial"/>
        </w:rPr>
        <w:t>,</w:t>
      </w:r>
      <w:r w:rsidRPr="00014FA4">
        <w:rPr>
          <w:rFonts w:ascii="Arial" w:hAnsi="Arial" w:cs="Arial"/>
        </w:rPr>
        <w:t>”</w:t>
      </w:r>
      <w:r>
        <w:rPr>
          <w:rFonts w:ascii="Arial" w:hAnsi="Arial" w:cs="Arial"/>
        </w:rPr>
        <w:t xml:space="preserve"> the first discussion question summarized current uses of MME: as a tool for converting medication dosage, and as a risk predictor for broader populations. </w:t>
      </w:r>
    </w:p>
    <w:p w14:paraId="351273C9" w14:textId="77777777" w:rsidR="00E21B0A" w:rsidRDefault="00E21B0A" w:rsidP="00E21B0A">
      <w:pPr>
        <w:rPr>
          <w:rFonts w:ascii="Arial" w:hAnsi="Arial" w:cs="Arial"/>
        </w:rPr>
      </w:pPr>
    </w:p>
    <w:p w14:paraId="1FF0A749" w14:textId="77777777" w:rsidR="00E21B0A" w:rsidRPr="001F1A40" w:rsidRDefault="00E21B0A" w:rsidP="00E21B0A">
      <w:pPr>
        <w:rPr>
          <w:rFonts w:ascii="Arial" w:hAnsi="Arial" w:cs="Arial"/>
        </w:rPr>
      </w:pPr>
      <w:r>
        <w:rPr>
          <w:rFonts w:ascii="Arial" w:hAnsi="Arial" w:cs="Arial"/>
        </w:rPr>
        <w:t xml:space="preserve">We ask the FDA to emphasize the use of MME as a guide for clinicians treating individual patients, not as a </w:t>
      </w:r>
      <w:r w:rsidRPr="0049285E">
        <w:rPr>
          <w:rFonts w:ascii="Arial" w:hAnsi="Arial" w:cs="Arial"/>
        </w:rPr>
        <w:t>population-wide risk predictor.</w:t>
      </w:r>
    </w:p>
    <w:p w14:paraId="6E4E5703" w14:textId="77777777" w:rsidR="00E21B0A" w:rsidRDefault="00E21B0A" w:rsidP="00E21B0A">
      <w:pPr>
        <w:rPr>
          <w:rFonts w:ascii="Arial" w:hAnsi="Arial" w:cs="Arial"/>
        </w:rPr>
      </w:pPr>
    </w:p>
    <w:p w14:paraId="4E6CF078" w14:textId="77777777" w:rsidR="00E21B0A" w:rsidRDefault="00E21B0A" w:rsidP="00E21B0A">
      <w:pPr>
        <w:autoSpaceDE w:val="0"/>
        <w:autoSpaceDN w:val="0"/>
        <w:adjustRightInd w:val="0"/>
        <w:rPr>
          <w:rFonts w:ascii="Arial" w:hAnsi="Arial" w:cs="Arial"/>
        </w:rPr>
      </w:pPr>
      <w:r w:rsidRPr="00884F48">
        <w:rPr>
          <w:rFonts w:ascii="Arial" w:hAnsi="Arial" w:cs="Arial"/>
          <w:color w:val="09142A"/>
          <w:shd w:val="clear" w:color="auto" w:fill="FFFFFF"/>
        </w:rPr>
        <w:t xml:space="preserve">Given the consequences for patients, it is deeply problematic </w:t>
      </w:r>
      <w:r>
        <w:rPr>
          <w:rFonts w:ascii="Arial" w:hAnsi="Arial" w:cs="Arial"/>
          <w:color w:val="09142A"/>
          <w:shd w:val="clear" w:color="auto" w:fill="FFFFFF"/>
        </w:rPr>
        <w:t>that</w:t>
      </w:r>
      <w:r w:rsidRPr="00C15771">
        <w:rPr>
          <w:rFonts w:ascii="Arial" w:hAnsi="Arial" w:cs="Arial"/>
        </w:rPr>
        <w:t xml:space="preserve"> </w:t>
      </w:r>
      <w:r>
        <w:rPr>
          <w:rFonts w:ascii="Arial" w:hAnsi="Arial" w:cs="Arial"/>
        </w:rPr>
        <w:t xml:space="preserve">the MME metric insufficiently accounts for </w:t>
      </w:r>
      <w:r w:rsidRPr="00C15771">
        <w:rPr>
          <w:rFonts w:ascii="Arial" w:hAnsi="Arial" w:cs="Arial"/>
        </w:rPr>
        <w:t xml:space="preserve">variations in drug </w:t>
      </w:r>
      <w:r>
        <w:rPr>
          <w:rFonts w:ascii="Arial" w:hAnsi="Arial" w:cs="Arial"/>
        </w:rPr>
        <w:t xml:space="preserve">metabolization, </w:t>
      </w:r>
      <w:r w:rsidRPr="00C15771">
        <w:rPr>
          <w:rFonts w:ascii="Arial" w:hAnsi="Arial" w:cs="Arial"/>
        </w:rPr>
        <w:t>both among medication</w:t>
      </w:r>
      <w:r>
        <w:rPr>
          <w:rFonts w:ascii="Arial" w:hAnsi="Arial" w:cs="Arial"/>
        </w:rPr>
        <w:t>s and from genetic variability.</w:t>
      </w:r>
      <w:r>
        <w:rPr>
          <w:rStyle w:val="FootnoteReference"/>
          <w:rFonts w:ascii="Arial" w:hAnsi="Arial" w:cs="Arial"/>
        </w:rPr>
        <w:footnoteReference w:id="1"/>
      </w:r>
      <w:r>
        <w:rPr>
          <w:rFonts w:ascii="Arial" w:hAnsi="Arial" w:cs="Arial"/>
        </w:rPr>
        <w:t xml:space="preserve"> </w:t>
      </w:r>
      <w:r>
        <w:rPr>
          <w:rStyle w:val="FootnoteReference"/>
          <w:rFonts w:ascii="Arial" w:hAnsi="Arial" w:cs="Arial"/>
        </w:rPr>
        <w:footnoteReference w:id="2"/>
      </w:r>
    </w:p>
    <w:p w14:paraId="44521877" w14:textId="77777777" w:rsidR="00E21B0A" w:rsidRDefault="00E21B0A" w:rsidP="00E21B0A">
      <w:pPr>
        <w:autoSpaceDE w:val="0"/>
        <w:autoSpaceDN w:val="0"/>
        <w:adjustRightInd w:val="0"/>
        <w:rPr>
          <w:rFonts w:ascii="Arial" w:hAnsi="Arial" w:cs="Arial"/>
        </w:rPr>
      </w:pPr>
    </w:p>
    <w:p w14:paraId="1C816426" w14:textId="77777777" w:rsidR="00E21B0A" w:rsidRPr="00FA6AC9" w:rsidRDefault="00E21B0A" w:rsidP="00E21B0A">
      <w:pPr>
        <w:autoSpaceDE w:val="0"/>
        <w:autoSpaceDN w:val="0"/>
        <w:adjustRightInd w:val="0"/>
        <w:rPr>
          <w:rFonts w:ascii="Arial" w:hAnsi="Arial" w:cs="Arial"/>
        </w:rPr>
      </w:pPr>
      <w:r>
        <w:rPr>
          <w:rFonts w:ascii="Arial" w:hAnsi="Arial" w:cs="Arial"/>
        </w:rPr>
        <w:t xml:space="preserve">In addition, </w:t>
      </w:r>
      <w:r w:rsidRPr="00884F48">
        <w:rPr>
          <w:rFonts w:ascii="Arial" w:hAnsi="Arial" w:cs="Arial"/>
        </w:rPr>
        <w:t xml:space="preserve">MMEs are calculated in the real world </w:t>
      </w:r>
      <w:r>
        <w:rPr>
          <w:rFonts w:ascii="Arial" w:hAnsi="Arial" w:cs="Arial"/>
        </w:rPr>
        <w:t>using flawed methods. As a result, recent research found</w:t>
      </w:r>
      <w:r w:rsidRPr="00884F48">
        <w:rPr>
          <w:rFonts w:ascii="Arial" w:hAnsi="Arial" w:cs="Arial"/>
        </w:rPr>
        <w:t xml:space="preserve"> that the same medication given at the same interval could be calculated as having an MME that falls belo</w:t>
      </w:r>
      <w:r>
        <w:rPr>
          <w:rFonts w:ascii="Arial" w:hAnsi="Arial" w:cs="Arial"/>
        </w:rPr>
        <w:t xml:space="preserve">w and above the 50-90 MME thresholds mentioned in the </w:t>
      </w:r>
      <w:r>
        <w:rPr>
          <w:rFonts w:ascii="Arial" w:hAnsi="Arial" w:cs="Arial"/>
          <w:i/>
        </w:rPr>
        <w:t>CDC Guideline for Prescribing Opioids for Chronic Pain</w:t>
      </w:r>
      <w:r>
        <w:rPr>
          <w:rFonts w:ascii="Arial" w:hAnsi="Arial" w:cs="Arial"/>
        </w:rPr>
        <w:t>.</w:t>
      </w:r>
      <w:r>
        <w:rPr>
          <w:rStyle w:val="FootnoteReference"/>
          <w:rFonts w:ascii="Arial" w:hAnsi="Arial" w:cs="Arial"/>
        </w:rPr>
        <w:footnoteReference w:id="3"/>
      </w:r>
    </w:p>
    <w:p w14:paraId="2AEBD442" w14:textId="77777777" w:rsidR="00E21B0A" w:rsidRDefault="00E21B0A" w:rsidP="00E21B0A">
      <w:pPr>
        <w:rPr>
          <w:rFonts w:ascii="Arial" w:hAnsi="Arial" w:cs="Arial"/>
        </w:rPr>
      </w:pPr>
    </w:p>
    <w:p w14:paraId="343AA246" w14:textId="04A220F5" w:rsidR="00E21B0A" w:rsidRPr="00B361AE" w:rsidRDefault="00E21B0A" w:rsidP="00E21B0A">
      <w:pPr>
        <w:autoSpaceDE w:val="0"/>
        <w:autoSpaceDN w:val="0"/>
        <w:adjustRightInd w:val="0"/>
        <w:rPr>
          <w:rFonts w:ascii="Arial" w:hAnsi="Arial" w:cs="Arial"/>
        </w:rPr>
      </w:pPr>
      <w:r>
        <w:rPr>
          <w:rFonts w:ascii="Arial" w:hAnsi="Arial" w:cs="Arial"/>
        </w:rPr>
        <w:t xml:space="preserve">Since the publication of the </w:t>
      </w:r>
      <w:r>
        <w:rPr>
          <w:rFonts w:ascii="Arial" w:hAnsi="Arial" w:cs="Arial"/>
          <w:i/>
        </w:rPr>
        <w:t xml:space="preserve">CDC Guideline </w:t>
      </w:r>
      <w:r>
        <w:rPr>
          <w:rFonts w:ascii="Arial" w:hAnsi="Arial" w:cs="Arial"/>
        </w:rPr>
        <w:t xml:space="preserve">in 2016, nearly every entity involved with opioid prescribing has equated dosage reduction with success, regardless of the health or </w:t>
      </w:r>
      <w:r w:rsidRPr="00B361AE">
        <w:rPr>
          <w:rFonts w:ascii="Arial" w:hAnsi="Arial" w:cs="Arial"/>
        </w:rPr>
        <w:t>functional status of the patients</w:t>
      </w:r>
      <w:r>
        <w:rPr>
          <w:rFonts w:ascii="Arial" w:hAnsi="Arial" w:cs="Arial"/>
        </w:rPr>
        <w:t xml:space="preserve"> subjected to tapering</w:t>
      </w:r>
      <w:r w:rsidRPr="00B361AE">
        <w:rPr>
          <w:rFonts w:ascii="Arial" w:hAnsi="Arial" w:cs="Arial"/>
        </w:rPr>
        <w:t>.</w:t>
      </w:r>
      <w:r w:rsidRPr="00B361AE">
        <w:rPr>
          <w:rStyle w:val="FootnoteReference"/>
          <w:rFonts w:ascii="Arial" w:hAnsi="Arial" w:cs="Arial"/>
        </w:rPr>
        <w:footnoteReference w:id="4"/>
      </w:r>
      <w:r w:rsidRPr="00B361AE">
        <w:rPr>
          <w:rFonts w:ascii="Arial" w:hAnsi="Arial" w:cs="Arial"/>
        </w:rPr>
        <w:t xml:space="preserve"> Recent observational studies paint a bleak picture of how opioid tapering is happening in the real world. Tapering </w:t>
      </w:r>
      <w:r w:rsidR="005464C2">
        <w:rPr>
          <w:rFonts w:ascii="Arial" w:hAnsi="Arial" w:cs="Arial"/>
        </w:rPr>
        <w:lastRenderedPageBreak/>
        <w:t>o</w:t>
      </w:r>
      <w:r w:rsidRPr="00B361AE">
        <w:rPr>
          <w:rFonts w:ascii="Arial" w:hAnsi="Arial" w:cs="Arial"/>
        </w:rPr>
        <w:t>ften happens abruptly with negativ</w:t>
      </w:r>
      <w:r>
        <w:rPr>
          <w:rFonts w:ascii="Arial" w:hAnsi="Arial" w:cs="Arial"/>
        </w:rPr>
        <w:t xml:space="preserve">e health consequences, and </w:t>
      </w:r>
      <w:r w:rsidRPr="00B361AE">
        <w:rPr>
          <w:rFonts w:ascii="Arial" w:hAnsi="Arial" w:cs="Arial"/>
        </w:rPr>
        <w:t>may actually increase patients’ risk of overdose or suicide, in addition to destabilizing their lives.</w:t>
      </w:r>
      <w:r w:rsidRPr="00B361AE">
        <w:rPr>
          <w:rStyle w:val="FootnoteReference"/>
          <w:rFonts w:ascii="Arial" w:hAnsi="Arial" w:cs="Arial"/>
          <w:color w:val="000000"/>
        </w:rPr>
        <w:footnoteReference w:id="5"/>
      </w:r>
      <w:r w:rsidRPr="00B361AE">
        <w:rPr>
          <w:rFonts w:ascii="Arial" w:hAnsi="Arial" w:cs="Arial"/>
        </w:rPr>
        <w:t xml:space="preserve"> </w:t>
      </w:r>
      <w:r w:rsidRPr="00B361AE">
        <w:rPr>
          <w:rStyle w:val="FootnoteReference"/>
          <w:rFonts w:ascii="Arial" w:hAnsi="Arial" w:cs="Arial"/>
        </w:rPr>
        <w:footnoteReference w:id="6"/>
      </w:r>
      <w:r w:rsidRPr="00B361AE">
        <w:rPr>
          <w:rFonts w:ascii="Arial" w:hAnsi="Arial" w:cs="Arial"/>
        </w:rPr>
        <w:t xml:space="preserve"> </w:t>
      </w:r>
      <w:r w:rsidRPr="00B361AE">
        <w:rPr>
          <w:rStyle w:val="FootnoteReference"/>
          <w:rFonts w:ascii="Arial" w:hAnsi="Arial" w:cs="Arial"/>
          <w:color w:val="000000" w:themeColor="text1"/>
        </w:rPr>
        <w:footnoteReference w:id="7"/>
      </w:r>
      <w:r w:rsidRPr="00B361AE">
        <w:rPr>
          <w:rFonts w:ascii="Arial" w:hAnsi="Arial" w:cs="Arial"/>
        </w:rPr>
        <w:t xml:space="preserve"> </w:t>
      </w:r>
      <w:r w:rsidRPr="00B361AE">
        <w:rPr>
          <w:rStyle w:val="FootnoteReference"/>
          <w:rFonts w:ascii="Arial" w:hAnsi="Arial" w:cs="Arial"/>
        </w:rPr>
        <w:footnoteReference w:id="8"/>
      </w:r>
      <w:r w:rsidRPr="00B361AE">
        <w:rPr>
          <w:rFonts w:ascii="Arial" w:hAnsi="Arial" w:cs="Arial"/>
          <w:color w:val="000000" w:themeColor="text1"/>
        </w:rPr>
        <w:t xml:space="preserve"> </w:t>
      </w:r>
      <w:r w:rsidRPr="00B361AE">
        <w:rPr>
          <w:rStyle w:val="FootnoteReference"/>
          <w:rFonts w:ascii="Arial" w:hAnsi="Arial" w:cs="Arial"/>
          <w:color w:val="000000"/>
        </w:rPr>
        <w:footnoteReference w:id="9"/>
      </w:r>
      <w:r w:rsidRPr="00B361AE">
        <w:rPr>
          <w:rFonts w:ascii="Arial" w:hAnsi="Arial" w:cs="Arial"/>
          <w:color w:val="000000" w:themeColor="text1"/>
        </w:rPr>
        <w:t xml:space="preserve"> </w:t>
      </w:r>
      <w:r w:rsidRPr="00B361AE">
        <w:rPr>
          <w:rStyle w:val="FootnoteReference"/>
          <w:rFonts w:ascii="Arial" w:hAnsi="Arial" w:cs="Arial"/>
        </w:rPr>
        <w:footnoteReference w:id="10"/>
      </w:r>
      <w:r w:rsidRPr="00B361AE">
        <w:rPr>
          <w:rFonts w:ascii="Arial" w:hAnsi="Arial" w:cs="Arial"/>
          <w:color w:val="000000" w:themeColor="text1"/>
        </w:rPr>
        <w:t xml:space="preserve"> </w:t>
      </w:r>
      <w:r w:rsidRPr="00B361AE">
        <w:rPr>
          <w:rStyle w:val="FootnoteReference"/>
          <w:rFonts w:ascii="Arial" w:hAnsi="Arial" w:cs="Arial"/>
          <w:color w:val="000000"/>
        </w:rPr>
        <w:footnoteReference w:id="11"/>
      </w:r>
      <w:r w:rsidRPr="00B361AE">
        <w:rPr>
          <w:rFonts w:ascii="Arial" w:hAnsi="Arial" w:cs="Arial"/>
          <w:color w:val="000000" w:themeColor="text1"/>
        </w:rPr>
        <w:t xml:space="preserve"> </w:t>
      </w:r>
      <w:r w:rsidRPr="00B361AE">
        <w:rPr>
          <w:rStyle w:val="FootnoteReference"/>
          <w:rFonts w:ascii="Arial" w:hAnsi="Arial" w:cs="Arial"/>
        </w:rPr>
        <w:footnoteReference w:id="12"/>
      </w:r>
      <w:r w:rsidRPr="00B361AE">
        <w:rPr>
          <w:rFonts w:ascii="Arial" w:hAnsi="Arial" w:cs="Arial"/>
          <w:color w:val="000000" w:themeColor="text1"/>
        </w:rPr>
        <w:t xml:space="preserve"> </w:t>
      </w:r>
    </w:p>
    <w:p w14:paraId="4870170B" w14:textId="77777777" w:rsidR="00E21B0A" w:rsidRPr="00B361AE" w:rsidRDefault="00E21B0A" w:rsidP="00E21B0A">
      <w:pPr>
        <w:rPr>
          <w:rFonts w:ascii="Arial" w:hAnsi="Arial" w:cs="Arial"/>
        </w:rPr>
      </w:pPr>
    </w:p>
    <w:p w14:paraId="0F30E301" w14:textId="77777777" w:rsidR="00E21B0A" w:rsidRDefault="00E21B0A" w:rsidP="00E21B0A">
      <w:pPr>
        <w:rPr>
          <w:rFonts w:ascii="Arial" w:hAnsi="Arial" w:cs="Arial"/>
          <w:color w:val="000000" w:themeColor="text1"/>
        </w:rPr>
      </w:pPr>
      <w:r>
        <w:rPr>
          <w:rFonts w:ascii="Arial" w:hAnsi="Arial" w:cs="Arial"/>
        </w:rPr>
        <w:t xml:space="preserve">National Committee on </w:t>
      </w:r>
      <w:r w:rsidRPr="00401531">
        <w:rPr>
          <w:rFonts w:ascii="Arial" w:hAnsi="Arial" w:cs="Arial"/>
          <w:color w:val="000000" w:themeColor="text1"/>
        </w:rPr>
        <w:t>Quality Assurance (NCQA) quality metrics rate health plans by number of patients maintained on doses above 90 MME, “</w:t>
      </w:r>
      <w:r w:rsidRPr="00401531">
        <w:rPr>
          <w:rFonts w:ascii="Arial" w:hAnsi="Arial" w:cs="Arial"/>
          <w:color w:val="000000" w:themeColor="text1"/>
          <w:shd w:val="clear" w:color="auto" w:fill="FFFFFF"/>
        </w:rPr>
        <w:t>to align with CDC recommendations.”</w:t>
      </w:r>
      <w:r>
        <w:rPr>
          <w:rStyle w:val="FootnoteReference"/>
          <w:rFonts w:ascii="Arial" w:hAnsi="Arial" w:cs="Arial"/>
          <w:color w:val="000000" w:themeColor="text1"/>
          <w:shd w:val="clear" w:color="auto" w:fill="FFFFFF"/>
        </w:rPr>
        <w:footnoteReference w:id="13"/>
      </w:r>
      <w:r>
        <w:rPr>
          <w:rFonts w:ascii="Arial" w:hAnsi="Arial" w:cs="Arial"/>
          <w:color w:val="000000" w:themeColor="text1"/>
          <w:shd w:val="clear" w:color="auto" w:fill="FFFFFF"/>
        </w:rPr>
        <w:t xml:space="preserve"> In 2020, t</w:t>
      </w:r>
      <w:r w:rsidRPr="00401531">
        <w:rPr>
          <w:rFonts w:ascii="Arial" w:hAnsi="Arial" w:cs="Arial"/>
          <w:color w:val="000000" w:themeColor="text1"/>
          <w:shd w:val="clear" w:color="auto" w:fill="FFFFFF"/>
        </w:rPr>
        <w:t xml:space="preserve">his </w:t>
      </w:r>
      <w:r>
        <w:rPr>
          <w:rFonts w:ascii="Arial" w:hAnsi="Arial" w:cs="Arial"/>
          <w:color w:val="000000" w:themeColor="text1"/>
          <w:shd w:val="clear" w:color="auto" w:fill="FFFFFF"/>
        </w:rPr>
        <w:t xml:space="preserve">threshold </w:t>
      </w:r>
      <w:r w:rsidRPr="00401531">
        <w:rPr>
          <w:rFonts w:ascii="Arial" w:hAnsi="Arial" w:cs="Arial"/>
          <w:color w:val="000000" w:themeColor="text1"/>
          <w:shd w:val="clear" w:color="auto" w:fill="FFFFFF"/>
        </w:rPr>
        <w:t>was lowered</w:t>
      </w:r>
      <w:r>
        <w:rPr>
          <w:rFonts w:ascii="Arial" w:hAnsi="Arial" w:cs="Arial"/>
          <w:color w:val="000000" w:themeColor="text1"/>
          <w:shd w:val="clear" w:color="auto" w:fill="FFFFFF"/>
        </w:rPr>
        <w:t xml:space="preserve"> to 90 MME</w:t>
      </w:r>
      <w:r w:rsidRPr="00401531">
        <w:rPr>
          <w:rFonts w:ascii="Arial" w:hAnsi="Arial" w:cs="Arial"/>
          <w:color w:val="000000" w:themeColor="text1"/>
          <w:shd w:val="clear" w:color="auto" w:fill="FFFFFF"/>
        </w:rPr>
        <w:t xml:space="preserve"> from 120</w:t>
      </w:r>
      <w:r>
        <w:rPr>
          <w:rFonts w:ascii="Arial" w:hAnsi="Arial" w:cs="Arial"/>
          <w:color w:val="000000" w:themeColor="text1"/>
          <w:shd w:val="clear" w:color="auto" w:fill="FFFFFF"/>
        </w:rPr>
        <w:t xml:space="preserve"> MME</w:t>
      </w:r>
      <w:r w:rsidRPr="00401531">
        <w:rPr>
          <w:rFonts w:ascii="Arial" w:hAnsi="Arial" w:cs="Arial"/>
          <w:color w:val="000000" w:themeColor="text1"/>
          <w:shd w:val="clear" w:color="auto" w:fill="FFFFFF"/>
        </w:rPr>
        <w:t xml:space="preserve">, </w:t>
      </w:r>
      <w:r>
        <w:rPr>
          <w:rFonts w:ascii="Arial" w:hAnsi="Arial" w:cs="Arial"/>
          <w:color w:val="000000" w:themeColor="text1"/>
        </w:rPr>
        <w:t>despite a letter from experts (</w:t>
      </w:r>
      <w:r w:rsidRPr="00401531">
        <w:rPr>
          <w:rFonts w:ascii="Arial" w:hAnsi="Arial" w:cs="Arial"/>
          <w:color w:val="000000" w:themeColor="text1"/>
        </w:rPr>
        <w:t xml:space="preserve">including some involved in developing the </w:t>
      </w:r>
      <w:r w:rsidRPr="00401531">
        <w:rPr>
          <w:rFonts w:ascii="Arial" w:hAnsi="Arial" w:cs="Arial"/>
          <w:i/>
          <w:color w:val="000000" w:themeColor="text1"/>
        </w:rPr>
        <w:t>CDC Guideline</w:t>
      </w:r>
      <w:r>
        <w:rPr>
          <w:rFonts w:ascii="Arial" w:hAnsi="Arial" w:cs="Arial"/>
          <w:color w:val="000000" w:themeColor="text1"/>
        </w:rPr>
        <w:t>) protesting the use of dosage as a quality measure.</w:t>
      </w:r>
      <w:r w:rsidRPr="00401531">
        <w:rPr>
          <w:rStyle w:val="FootnoteReference"/>
          <w:rFonts w:ascii="Arial" w:hAnsi="Arial" w:cs="Arial"/>
          <w:color w:val="000000" w:themeColor="text1"/>
        </w:rPr>
        <w:footnoteReference w:id="14"/>
      </w:r>
      <w:r>
        <w:rPr>
          <w:rFonts w:ascii="Arial" w:hAnsi="Arial" w:cs="Arial"/>
          <w:color w:val="000000" w:themeColor="text1"/>
        </w:rPr>
        <w:t xml:space="preserve"> </w:t>
      </w:r>
    </w:p>
    <w:p w14:paraId="61816751" w14:textId="77777777" w:rsidR="00E21B0A" w:rsidRDefault="00E21B0A" w:rsidP="00E21B0A">
      <w:pPr>
        <w:rPr>
          <w:rFonts w:ascii="Arial" w:hAnsi="Arial" w:cs="Arial"/>
        </w:rPr>
      </w:pPr>
    </w:p>
    <w:p w14:paraId="3C6572FB" w14:textId="77777777" w:rsidR="00E21B0A" w:rsidRDefault="00E21B0A" w:rsidP="00E21B0A">
      <w:pPr>
        <w:rPr>
          <w:rFonts w:ascii="Arial" w:hAnsi="Arial" w:cs="Arial"/>
        </w:rPr>
      </w:pPr>
      <w:r>
        <w:rPr>
          <w:rFonts w:ascii="Arial" w:hAnsi="Arial" w:cs="Arial"/>
        </w:rPr>
        <w:t xml:space="preserve">State Medicaid programs enforce dosage limits regardless of medical condition or disability. State legislatures, state agencies, pharmacies, pharmacy benefit managers, health systems, and insurance companies incentivize or require across-the-board dosage reduction, justified </w:t>
      </w:r>
      <w:r w:rsidRPr="00A83F37">
        <w:rPr>
          <w:rFonts w:ascii="Arial" w:hAnsi="Arial" w:cs="Arial"/>
        </w:rPr>
        <w:t>as “alignment with the Centers for Disease Control and Prevention’s (CDC) guidelines for opioid use.”</w:t>
      </w:r>
      <w:r>
        <w:rPr>
          <w:rStyle w:val="FootnoteReference"/>
          <w:rFonts w:ascii="Arial" w:hAnsi="Arial" w:cs="Arial"/>
        </w:rPr>
        <w:footnoteReference w:id="15"/>
      </w:r>
      <w:r>
        <w:rPr>
          <w:rFonts w:ascii="Arial" w:hAnsi="Arial" w:cs="Arial"/>
        </w:rPr>
        <w:t xml:space="preserve"> </w:t>
      </w:r>
      <w:r>
        <w:rPr>
          <w:rStyle w:val="FootnoteReference"/>
          <w:rFonts w:ascii="Arial" w:hAnsi="Arial" w:cs="Arial"/>
        </w:rPr>
        <w:footnoteReference w:id="16"/>
      </w:r>
      <w:r>
        <w:rPr>
          <w:rFonts w:ascii="Arial" w:hAnsi="Arial" w:cs="Arial"/>
        </w:rPr>
        <w:t xml:space="preserve"> </w:t>
      </w:r>
    </w:p>
    <w:p w14:paraId="1AF8D7E2" w14:textId="77777777" w:rsidR="00E21B0A" w:rsidRDefault="00E21B0A" w:rsidP="00E21B0A">
      <w:pPr>
        <w:rPr>
          <w:rFonts w:ascii="Arial" w:hAnsi="Arial" w:cs="Arial"/>
        </w:rPr>
      </w:pPr>
    </w:p>
    <w:p w14:paraId="577EC4A1" w14:textId="77777777" w:rsidR="00E21B0A" w:rsidRDefault="00E21B0A" w:rsidP="00E21B0A">
      <w:pPr>
        <w:rPr>
          <w:rFonts w:ascii="Arial" w:hAnsi="Arial" w:cs="Arial"/>
        </w:rPr>
      </w:pPr>
      <w:r>
        <w:rPr>
          <w:rFonts w:ascii="Arial" w:hAnsi="Arial" w:cs="Arial"/>
        </w:rPr>
        <w:t>State and national metrics</w:t>
      </w:r>
      <w:r w:rsidRPr="00F87770">
        <w:rPr>
          <w:rFonts w:ascii="Arial" w:hAnsi="Arial" w:cs="Arial"/>
        </w:rPr>
        <w:t xml:space="preserve"> </w:t>
      </w:r>
      <w:r>
        <w:rPr>
          <w:rFonts w:ascii="Arial" w:hAnsi="Arial" w:cs="Arial"/>
        </w:rPr>
        <w:t xml:space="preserve">define “quality” as dosage reduction to 120, 90, or </w:t>
      </w:r>
      <w:r w:rsidRPr="00F87770">
        <w:rPr>
          <w:rFonts w:ascii="Arial" w:hAnsi="Arial" w:cs="Arial"/>
        </w:rPr>
        <w:t>50 MME,</w:t>
      </w:r>
      <w:r>
        <w:rPr>
          <w:rStyle w:val="FootnoteReference"/>
          <w:rFonts w:ascii="Arial" w:hAnsi="Arial" w:cs="Arial"/>
        </w:rPr>
        <w:footnoteReference w:id="17"/>
      </w:r>
      <w:r w:rsidRPr="00F87770">
        <w:rPr>
          <w:rFonts w:ascii="Arial" w:hAnsi="Arial" w:cs="Arial"/>
        </w:rPr>
        <w:t xml:space="preserve"> described as “full alignment to the CDC.”</w:t>
      </w:r>
      <w:r>
        <w:rPr>
          <w:rFonts w:ascii="Arial" w:hAnsi="Arial" w:cs="Arial"/>
        </w:rPr>
        <w:t xml:space="preserve"> Individuals who were stable, functioning, and meeting life goals at higher dosage are “addressed” via nonconsensual taper.</w:t>
      </w:r>
      <w:r w:rsidRPr="008B18DE">
        <w:rPr>
          <w:rStyle w:val="FootnoteReference"/>
          <w:rFonts w:ascii="Arial" w:hAnsi="Arial" w:cs="Arial"/>
        </w:rPr>
        <w:t xml:space="preserve"> </w:t>
      </w:r>
      <w:r>
        <w:rPr>
          <w:rStyle w:val="FootnoteReference"/>
          <w:rFonts w:ascii="Arial" w:hAnsi="Arial" w:cs="Arial"/>
        </w:rPr>
        <w:footnoteReference w:id="18"/>
      </w:r>
    </w:p>
    <w:p w14:paraId="354A31ED" w14:textId="77777777" w:rsidR="00E21B0A" w:rsidRDefault="00E21B0A" w:rsidP="00E21B0A">
      <w:pPr>
        <w:rPr>
          <w:rFonts w:ascii="Arial" w:hAnsi="Arial" w:cs="Arial"/>
        </w:rPr>
      </w:pPr>
    </w:p>
    <w:p w14:paraId="7A6A17FA" w14:textId="77777777" w:rsidR="00E21B0A" w:rsidRPr="00491A7F" w:rsidRDefault="00E21B0A" w:rsidP="00E21B0A">
      <w:pPr>
        <w:pStyle w:val="NormalWeb"/>
        <w:spacing w:before="0" w:beforeAutospacing="0" w:after="0" w:afterAutospacing="0"/>
        <w:rPr>
          <w:rFonts w:ascii="Arial" w:hAnsi="Arial" w:cs="Arial"/>
          <w:sz w:val="24"/>
          <w:szCs w:val="24"/>
        </w:rPr>
      </w:pPr>
      <w:r>
        <w:rPr>
          <w:rFonts w:ascii="Arial" w:hAnsi="Arial" w:cs="Arial"/>
          <w:sz w:val="24"/>
          <w:szCs w:val="24"/>
        </w:rPr>
        <w:t>As one</w:t>
      </w:r>
      <w:r w:rsidRPr="00F33AD1">
        <w:rPr>
          <w:rFonts w:ascii="Arial" w:hAnsi="Arial" w:cs="Arial"/>
          <w:sz w:val="24"/>
          <w:szCs w:val="24"/>
        </w:rPr>
        <w:t xml:space="preserve"> pharm</w:t>
      </w:r>
      <w:r>
        <w:rPr>
          <w:rFonts w:ascii="Arial" w:hAnsi="Arial" w:cs="Arial"/>
          <w:sz w:val="24"/>
          <w:szCs w:val="24"/>
        </w:rPr>
        <w:t>acy benefit manager announced</w:t>
      </w:r>
      <w:r w:rsidRPr="00F33AD1">
        <w:rPr>
          <w:rFonts w:ascii="Arial" w:hAnsi="Arial" w:cs="Arial"/>
          <w:sz w:val="24"/>
          <w:szCs w:val="24"/>
        </w:rPr>
        <w:t xml:space="preserve">: “the program has reduced prescriptions above </w:t>
      </w:r>
      <w:r>
        <w:rPr>
          <w:rFonts w:ascii="Arial" w:hAnsi="Arial" w:cs="Arial"/>
          <w:sz w:val="24"/>
          <w:szCs w:val="24"/>
        </w:rPr>
        <w:t xml:space="preserve">the CDC recommended dose by 85%.... </w:t>
      </w:r>
      <w:r w:rsidRPr="00F33AD1">
        <w:rPr>
          <w:rFonts w:ascii="Arial" w:hAnsi="Arial" w:cs="Arial"/>
          <w:sz w:val="24"/>
          <w:szCs w:val="24"/>
        </w:rPr>
        <w:t xml:space="preserve">It has also decreased prescriptions for current chronic opioid users by 68%. Further, the average dose </w:t>
      </w:r>
      <w:r w:rsidRPr="00491A7F">
        <w:rPr>
          <w:rFonts w:ascii="Arial" w:hAnsi="Arial" w:cs="Arial"/>
          <w:sz w:val="24"/>
          <w:szCs w:val="24"/>
        </w:rPr>
        <w:t>across all opioid prescriptions has been reduced by 14%.”</w:t>
      </w:r>
      <w:r w:rsidRPr="00491A7F">
        <w:rPr>
          <w:rStyle w:val="FootnoteReference"/>
          <w:rFonts w:ascii="Arial" w:hAnsi="Arial" w:cs="Arial"/>
          <w:sz w:val="24"/>
          <w:szCs w:val="24"/>
        </w:rPr>
        <w:footnoteReference w:id="19"/>
      </w:r>
    </w:p>
    <w:p w14:paraId="5326CB94" w14:textId="77777777" w:rsidR="00E21B0A" w:rsidRPr="00491A7F" w:rsidRDefault="00E21B0A" w:rsidP="00E21B0A">
      <w:pPr>
        <w:pStyle w:val="NormalWeb"/>
        <w:spacing w:before="0" w:beforeAutospacing="0" w:after="0" w:afterAutospacing="0"/>
        <w:rPr>
          <w:rFonts w:ascii="Arial" w:hAnsi="Arial" w:cs="Arial"/>
          <w:sz w:val="24"/>
          <w:szCs w:val="24"/>
        </w:rPr>
      </w:pPr>
    </w:p>
    <w:p w14:paraId="125CCD0D" w14:textId="77777777" w:rsidR="00E21B0A" w:rsidRDefault="00E21B0A" w:rsidP="00E21B0A">
      <w:pPr>
        <w:autoSpaceDE w:val="0"/>
        <w:autoSpaceDN w:val="0"/>
        <w:adjustRightInd w:val="0"/>
        <w:rPr>
          <w:rFonts w:ascii="Arial" w:hAnsi="Arial" w:cs="Arial"/>
        </w:rPr>
      </w:pPr>
      <w:r w:rsidRPr="00491A7F">
        <w:rPr>
          <w:rFonts w:ascii="Arial" w:hAnsi="Arial" w:cs="Arial"/>
        </w:rPr>
        <w:t xml:space="preserve">Whether the affected patients function better post-reduction – or even whether they are still alive – is rarely measured or even mentioned in such “quality improvement plans.” </w:t>
      </w:r>
    </w:p>
    <w:p w14:paraId="0D332EDD" w14:textId="77777777" w:rsidR="00E21B0A" w:rsidRDefault="00E21B0A" w:rsidP="00E21B0A">
      <w:pPr>
        <w:autoSpaceDE w:val="0"/>
        <w:autoSpaceDN w:val="0"/>
        <w:adjustRightInd w:val="0"/>
        <w:rPr>
          <w:rFonts w:ascii="Arial" w:hAnsi="Arial" w:cs="Arial"/>
        </w:rPr>
      </w:pPr>
    </w:p>
    <w:p w14:paraId="7F997E2B" w14:textId="77777777" w:rsidR="00E21B0A" w:rsidRPr="00EE0C5A" w:rsidRDefault="00E21B0A" w:rsidP="00E21B0A">
      <w:pPr>
        <w:rPr>
          <w:rFonts w:ascii="Times New Roman" w:hAnsi="Times New Roman"/>
          <w:sz w:val="20"/>
          <w:szCs w:val="20"/>
        </w:rPr>
      </w:pPr>
      <w:r>
        <w:rPr>
          <w:rFonts w:ascii="Arial" w:hAnsi="Arial" w:cs="Arial"/>
          <w:color w:val="000000" w:themeColor="text1"/>
        </w:rPr>
        <w:t>MME metrics are also used by law enforcement as a basis for surveillance of physician prescribing practices, often without any consideration of the patient population a physician treats.</w:t>
      </w:r>
      <w:r>
        <w:rPr>
          <w:rStyle w:val="FootnoteReference"/>
          <w:rFonts w:ascii="Arial" w:hAnsi="Arial" w:cs="Arial"/>
          <w:color w:val="000000" w:themeColor="text1"/>
        </w:rPr>
        <w:footnoteReference w:id="20"/>
      </w:r>
    </w:p>
    <w:p w14:paraId="3E8A2611" w14:textId="77777777" w:rsidR="00E21B0A" w:rsidRDefault="00E21B0A" w:rsidP="00E21B0A">
      <w:pPr>
        <w:rPr>
          <w:rFonts w:ascii="Arial" w:hAnsi="Arial" w:cs="Arial"/>
          <w:color w:val="000000" w:themeColor="text1"/>
        </w:rPr>
      </w:pPr>
    </w:p>
    <w:p w14:paraId="54E32A20" w14:textId="77777777" w:rsidR="00E21B0A" w:rsidRPr="001A0BC0" w:rsidRDefault="00E21B0A" w:rsidP="00E21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50026C">
        <w:rPr>
          <w:rFonts w:ascii="Arial" w:hAnsi="Arial" w:cs="Arial"/>
          <w:color w:val="000000" w:themeColor="text1"/>
        </w:rPr>
        <w:t>As the HHS</w:t>
      </w:r>
      <w:r>
        <w:rPr>
          <w:rFonts w:ascii="Arial" w:hAnsi="Arial" w:cs="Arial"/>
          <w:color w:val="000000" w:themeColor="text1"/>
        </w:rPr>
        <w:t xml:space="preserve"> Pain Management Best Practices Inter-Agency</w:t>
      </w:r>
      <w:r w:rsidRPr="0050026C">
        <w:rPr>
          <w:rFonts w:ascii="Arial" w:hAnsi="Arial" w:cs="Arial"/>
          <w:color w:val="000000" w:themeColor="text1"/>
        </w:rPr>
        <w:t xml:space="preserve"> Task Force report points out, although </w:t>
      </w:r>
      <w:r>
        <w:rPr>
          <w:rFonts w:ascii="Arial" w:hAnsi="Arial" w:cs="Arial"/>
          <w:color w:val="000000" w:themeColor="text1"/>
        </w:rPr>
        <w:t>risks increase with higher dosage</w:t>
      </w:r>
      <w:r w:rsidRPr="0050026C">
        <w:rPr>
          <w:rFonts w:ascii="Arial" w:hAnsi="Arial" w:cs="Arial"/>
          <w:color w:val="000000" w:themeColor="text1"/>
        </w:rPr>
        <w:t>, given the variability in underlying conditions and in how patients metabolize opioids, there is no clear cut off point.</w:t>
      </w:r>
      <w:r>
        <w:rPr>
          <w:rFonts w:ascii="Arial" w:hAnsi="Arial" w:cs="Arial"/>
          <w:color w:val="000000" w:themeColor="text1"/>
        </w:rPr>
        <w:t xml:space="preserve"> </w:t>
      </w:r>
      <w:r>
        <w:rPr>
          <w:rFonts w:ascii="Arial" w:hAnsi="Arial" w:cs="Arial"/>
        </w:rPr>
        <w:t>Nor is there evidence</w:t>
      </w:r>
      <w:r w:rsidRPr="0067651C">
        <w:rPr>
          <w:rFonts w:ascii="Arial" w:hAnsi="Arial" w:cs="Arial"/>
        </w:rPr>
        <w:t xml:space="preserve"> for 50 </w:t>
      </w:r>
      <w:r>
        <w:rPr>
          <w:rFonts w:ascii="Arial" w:hAnsi="Arial" w:cs="Arial"/>
        </w:rPr>
        <w:t>MME,</w:t>
      </w:r>
      <w:r w:rsidRPr="0067651C">
        <w:rPr>
          <w:rFonts w:ascii="Arial" w:hAnsi="Arial" w:cs="Arial"/>
        </w:rPr>
        <w:t xml:space="preserve"> 90 MME, or 120 MME as a particular </w:t>
      </w:r>
      <w:r>
        <w:rPr>
          <w:rFonts w:ascii="Arial" w:hAnsi="Arial" w:cs="Arial"/>
        </w:rPr>
        <w:t xml:space="preserve">inflection point </w:t>
      </w:r>
      <w:r w:rsidRPr="0067651C">
        <w:rPr>
          <w:rFonts w:ascii="Arial" w:hAnsi="Arial" w:cs="Arial"/>
        </w:rPr>
        <w:t>for increased risk</w:t>
      </w:r>
      <w:r>
        <w:rPr>
          <w:rFonts w:ascii="Arial" w:hAnsi="Arial" w:cs="Arial"/>
        </w:rPr>
        <w:t>.</w:t>
      </w:r>
      <w:r w:rsidRPr="0067651C">
        <w:rPr>
          <w:rStyle w:val="FootnoteReference"/>
          <w:rFonts w:ascii="Arial" w:hAnsi="Arial" w:cs="Arial"/>
        </w:rPr>
        <w:footnoteReference w:id="21"/>
      </w:r>
      <w:r w:rsidRPr="0067651C">
        <w:rPr>
          <w:rFonts w:ascii="Arial" w:hAnsi="Arial" w:cs="Arial"/>
        </w:rPr>
        <w:t xml:space="preserve"> </w:t>
      </w:r>
      <w:r>
        <w:rPr>
          <w:rFonts w:ascii="Arial" w:hAnsi="Arial" w:cs="Arial"/>
        </w:rPr>
        <w:t>Recent data from CMS (Centers for Medicare and Medicaid Services) shows that dosage-based safety measures fail to capture the majority of patients at risk for overdose, and wrongly flag patients who are not at risk.</w:t>
      </w:r>
      <w:r>
        <w:rPr>
          <w:rStyle w:val="FootnoteReference"/>
          <w:rFonts w:ascii="Arial" w:hAnsi="Arial" w:cs="Arial"/>
        </w:rPr>
        <w:footnoteReference w:id="22"/>
      </w:r>
      <w:r>
        <w:rPr>
          <w:rFonts w:ascii="Arial" w:hAnsi="Arial" w:cs="Arial"/>
        </w:rPr>
        <w:t xml:space="preserve"> </w:t>
      </w:r>
      <w:r w:rsidRPr="00884F48">
        <w:rPr>
          <w:rFonts w:ascii="Arial" w:hAnsi="Arial" w:cs="Arial"/>
        </w:rPr>
        <w:t xml:space="preserve">These results suggest that high dose itself does not directly cause overdose, but rather correlates with underlying factors that, if correctly identified, </w:t>
      </w:r>
      <w:r w:rsidRPr="001A0BC0">
        <w:rPr>
          <w:rFonts w:ascii="Arial" w:hAnsi="Arial" w:cs="Arial"/>
        </w:rPr>
        <w:t>might inform a more useful safety measure.</w:t>
      </w:r>
      <w:r w:rsidRPr="001A0BC0">
        <w:rPr>
          <w:rStyle w:val="FootnoteReference"/>
          <w:rFonts w:ascii="Arial" w:hAnsi="Arial" w:cs="Arial"/>
        </w:rPr>
        <w:footnoteReference w:id="23"/>
      </w:r>
    </w:p>
    <w:p w14:paraId="29D3E033" w14:textId="77777777" w:rsidR="00E21B0A" w:rsidRPr="001A0BC0" w:rsidRDefault="00E21B0A" w:rsidP="00E21B0A">
      <w:pPr>
        <w:rPr>
          <w:rFonts w:ascii="Arial" w:hAnsi="Arial" w:cs="Arial"/>
        </w:rPr>
      </w:pPr>
    </w:p>
    <w:p w14:paraId="404CBE72" w14:textId="77777777" w:rsidR="00E21B0A" w:rsidRPr="001A0BC0" w:rsidRDefault="00E21B0A" w:rsidP="00E21B0A">
      <w:pPr>
        <w:autoSpaceDE w:val="0"/>
        <w:autoSpaceDN w:val="0"/>
        <w:adjustRightInd w:val="0"/>
        <w:rPr>
          <w:rFonts w:ascii="Arial" w:hAnsi="Arial" w:cs="Arial"/>
        </w:rPr>
      </w:pPr>
      <w:r>
        <w:rPr>
          <w:rFonts w:ascii="Arial" w:hAnsi="Arial" w:cs="Arial"/>
        </w:rPr>
        <w:t>. R</w:t>
      </w:r>
      <w:r w:rsidRPr="001A0BC0">
        <w:rPr>
          <w:rFonts w:ascii="Arial" w:hAnsi="Arial" w:cs="Arial"/>
        </w:rPr>
        <w:t xml:space="preserve">eliance on the MME metric </w:t>
      </w:r>
      <w:r>
        <w:rPr>
          <w:rFonts w:ascii="Arial" w:hAnsi="Arial" w:cs="Arial"/>
        </w:rPr>
        <w:t xml:space="preserve">– Originally intended to ensure patient safety, reliance on the MME metric </w:t>
      </w:r>
      <w:r w:rsidRPr="001A0BC0">
        <w:rPr>
          <w:rFonts w:ascii="Arial" w:hAnsi="Arial" w:cs="Arial"/>
        </w:rPr>
        <w:t xml:space="preserve">has proven detrimental to patients with multiple chronic conditions, patients with disabilities, and to patient-centered and individualized care. </w:t>
      </w:r>
      <w:r>
        <w:rPr>
          <w:rFonts w:ascii="Arial" w:hAnsi="Arial" w:cs="Arial"/>
        </w:rPr>
        <w:t xml:space="preserve">In light of these serious concerns about </w:t>
      </w:r>
      <w:r w:rsidRPr="001A0BC0">
        <w:rPr>
          <w:rFonts w:ascii="Arial" w:hAnsi="Arial" w:cs="Arial"/>
        </w:rPr>
        <w:t xml:space="preserve">the scientific integrity, viability, and </w:t>
      </w:r>
      <w:r>
        <w:rPr>
          <w:rFonts w:ascii="Arial" w:hAnsi="Arial" w:cs="Arial"/>
        </w:rPr>
        <w:t xml:space="preserve">overall </w:t>
      </w:r>
      <w:r w:rsidRPr="001A0BC0">
        <w:rPr>
          <w:rFonts w:ascii="Arial" w:hAnsi="Arial" w:cs="Arial"/>
        </w:rPr>
        <w:t>use</w:t>
      </w:r>
      <w:r>
        <w:rPr>
          <w:rFonts w:ascii="Arial" w:hAnsi="Arial" w:cs="Arial"/>
        </w:rPr>
        <w:t>fulness</w:t>
      </w:r>
      <w:r w:rsidRPr="001A0BC0">
        <w:rPr>
          <w:rFonts w:ascii="Arial" w:hAnsi="Arial" w:cs="Arial"/>
        </w:rPr>
        <w:t xml:space="preserve"> of the MME </w:t>
      </w:r>
      <w:r>
        <w:rPr>
          <w:rFonts w:ascii="Arial" w:hAnsi="Arial" w:cs="Arial"/>
        </w:rPr>
        <w:t>metric, w</w:t>
      </w:r>
      <w:r w:rsidRPr="001A0BC0">
        <w:rPr>
          <w:rFonts w:ascii="Arial" w:hAnsi="Arial" w:cs="Arial"/>
        </w:rPr>
        <w:t xml:space="preserve">e urge the FDA </w:t>
      </w:r>
      <w:r>
        <w:rPr>
          <w:rFonts w:ascii="Arial" w:hAnsi="Arial" w:cs="Arial"/>
        </w:rPr>
        <w:t>to remove this metric.</w:t>
      </w:r>
    </w:p>
    <w:p w14:paraId="5B3304E9" w14:textId="77777777" w:rsidR="00E21B0A" w:rsidRPr="00884F48" w:rsidRDefault="00E21B0A" w:rsidP="00E21B0A">
      <w:pPr>
        <w:rPr>
          <w:rFonts w:ascii="Arial" w:hAnsi="Arial" w:cs="Arial"/>
        </w:rPr>
      </w:pPr>
    </w:p>
    <w:p w14:paraId="4F505541" w14:textId="77777777" w:rsidR="00E21B0A" w:rsidRDefault="00E21B0A" w:rsidP="00E21B0A">
      <w:pPr>
        <w:pStyle w:val="NormalWeb"/>
        <w:spacing w:before="0" w:beforeAutospacing="0" w:after="0" w:afterAutospacing="0"/>
        <w:rPr>
          <w:rFonts w:ascii="Arial" w:hAnsi="Arial" w:cs="Arial"/>
          <w:color w:val="000000" w:themeColor="text1"/>
          <w:sz w:val="24"/>
          <w:szCs w:val="24"/>
        </w:rPr>
      </w:pPr>
      <w:r>
        <w:rPr>
          <w:rFonts w:ascii="Arial" w:hAnsi="Arial" w:cs="Arial"/>
          <w:color w:val="000000" w:themeColor="text1"/>
          <w:sz w:val="24"/>
          <w:szCs w:val="24"/>
        </w:rPr>
        <w:t>Thank you very much for your consideration of these concerns of the disability community.</w:t>
      </w:r>
    </w:p>
    <w:p w14:paraId="57E38D0E" w14:textId="77777777" w:rsidR="00E21B0A" w:rsidRPr="0050026C" w:rsidRDefault="00E21B0A" w:rsidP="00E21B0A">
      <w:pPr>
        <w:pStyle w:val="NormalWeb"/>
        <w:spacing w:before="0" w:beforeAutospacing="0" w:after="0" w:afterAutospacing="0"/>
        <w:rPr>
          <w:rFonts w:ascii="Arial" w:hAnsi="Arial" w:cs="Arial"/>
          <w:color w:val="000000" w:themeColor="text1"/>
          <w:sz w:val="24"/>
          <w:szCs w:val="24"/>
        </w:rPr>
      </w:pPr>
    </w:p>
    <w:p w14:paraId="4FA7483F" w14:textId="77777777" w:rsidR="00E21B0A" w:rsidRDefault="00E21B0A" w:rsidP="00E21B0A">
      <w:pPr>
        <w:pStyle w:val="NormalWeb"/>
        <w:spacing w:before="0" w:beforeAutospacing="0" w:after="0" w:afterAutospacing="0"/>
        <w:rPr>
          <w:rFonts w:ascii="Arial" w:hAnsi="Arial" w:cs="Arial"/>
          <w:color w:val="000000" w:themeColor="text1"/>
          <w:sz w:val="24"/>
          <w:szCs w:val="24"/>
        </w:rPr>
      </w:pPr>
      <w:r w:rsidRPr="0050026C">
        <w:rPr>
          <w:rFonts w:ascii="Arial" w:hAnsi="Arial" w:cs="Arial"/>
          <w:color w:val="000000" w:themeColor="text1"/>
          <w:sz w:val="24"/>
          <w:szCs w:val="24"/>
        </w:rPr>
        <w:lastRenderedPageBreak/>
        <w:t>Any questions or comments may be directed to Lindsay Baran at lindsay@ncil.org or Kate Nicholson at kate@katemnicholson.com, Co-Chairs of the Chronic Pain/Opioids Task Force for NCIL.</w:t>
      </w:r>
      <w:r>
        <w:rPr>
          <w:rFonts w:ascii="Arial" w:hAnsi="Arial" w:cs="Arial"/>
          <w:color w:val="000000" w:themeColor="text1"/>
          <w:sz w:val="24"/>
          <w:szCs w:val="24"/>
        </w:rPr>
        <w:t xml:space="preserve"> </w:t>
      </w:r>
    </w:p>
    <w:p w14:paraId="5F8B83E2" w14:textId="77777777" w:rsidR="00E21B0A" w:rsidRPr="00884F48" w:rsidRDefault="00E21B0A" w:rsidP="00E21B0A">
      <w:pPr>
        <w:rPr>
          <w:rFonts w:ascii="Arial" w:hAnsi="Arial" w:cs="Arial"/>
        </w:rPr>
      </w:pPr>
    </w:p>
    <w:p w14:paraId="48304AB0" w14:textId="77777777" w:rsidR="00E21B0A" w:rsidRPr="00204D75" w:rsidRDefault="00E21B0A">
      <w:pPr>
        <w:rPr>
          <w:rFonts w:ascii="Arial" w:hAnsi="Arial" w:cs="Arial"/>
        </w:rPr>
      </w:pPr>
    </w:p>
    <w:sectPr w:rsidR="00E21B0A" w:rsidRPr="00204D75" w:rsidSect="00F26F7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907E2" w14:textId="77777777" w:rsidR="0027765C" w:rsidRDefault="0027765C" w:rsidP="00E21B0A">
      <w:r>
        <w:separator/>
      </w:r>
    </w:p>
  </w:endnote>
  <w:endnote w:type="continuationSeparator" w:id="0">
    <w:p w14:paraId="709B8283" w14:textId="77777777" w:rsidR="0027765C" w:rsidRDefault="0027765C" w:rsidP="00E2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0A980" w14:textId="77777777" w:rsidR="0027765C" w:rsidRDefault="0027765C" w:rsidP="00E21B0A">
      <w:r>
        <w:separator/>
      </w:r>
    </w:p>
  </w:footnote>
  <w:footnote w:type="continuationSeparator" w:id="0">
    <w:p w14:paraId="02063224" w14:textId="77777777" w:rsidR="0027765C" w:rsidRDefault="0027765C" w:rsidP="00E21B0A">
      <w:r>
        <w:continuationSeparator/>
      </w:r>
    </w:p>
  </w:footnote>
  <w:footnote w:id="1">
    <w:p w14:paraId="2DC7ABE0" w14:textId="77777777" w:rsidR="00E21B0A" w:rsidRDefault="00E21B0A" w:rsidP="00E21B0A">
      <w:pPr>
        <w:pStyle w:val="FootnoteText"/>
      </w:pPr>
      <w:r>
        <w:rPr>
          <w:rStyle w:val="FootnoteReference"/>
        </w:rPr>
        <w:footnoteRef/>
      </w:r>
      <w:r>
        <w:t xml:space="preserve"> </w:t>
      </w:r>
      <w:r w:rsidRPr="00933C37">
        <w:rPr>
          <w:rFonts w:cs="Arial"/>
          <w:color w:val="000000" w:themeColor="text1"/>
          <w:sz w:val="18"/>
          <w:szCs w:val="18"/>
        </w:rPr>
        <w:t xml:space="preserve">Deepti Agarwal, Mercy A. Udoji, and Andrea Trescot. “Genetic Testing for Opioid Pain Management.” </w:t>
      </w:r>
      <w:r w:rsidRPr="00933C37">
        <w:rPr>
          <w:rStyle w:val="cit"/>
          <w:rFonts w:eastAsia="Times New Roman" w:cs="Arial"/>
          <w:color w:val="000000" w:themeColor="text1"/>
          <w:sz w:val="18"/>
          <w:szCs w:val="18"/>
        </w:rPr>
        <w:t>Pain Ther</w:t>
      </w:r>
      <w:r w:rsidRPr="00933C37">
        <w:rPr>
          <w:rStyle w:val="cit"/>
          <w:rFonts w:cs="Arial"/>
          <w:color w:val="000000" w:themeColor="text1"/>
          <w:sz w:val="18"/>
          <w:szCs w:val="18"/>
        </w:rPr>
        <w:t>. 2017 Jun; 6(1): 93–105.</w:t>
      </w:r>
    </w:p>
  </w:footnote>
  <w:footnote w:id="2">
    <w:p w14:paraId="601987AA" w14:textId="77777777" w:rsidR="00E21B0A" w:rsidRDefault="00E21B0A" w:rsidP="00E21B0A">
      <w:pPr>
        <w:pStyle w:val="FootnoteText"/>
      </w:pPr>
      <w:r>
        <w:rPr>
          <w:rStyle w:val="FootnoteReference"/>
        </w:rPr>
        <w:footnoteRef/>
      </w:r>
      <w:r>
        <w:t xml:space="preserve"> </w:t>
      </w:r>
      <w:r w:rsidRPr="00933C37">
        <w:rPr>
          <w:rFonts w:eastAsia="Times New Roman" w:cs="Arial"/>
          <w:color w:val="000000" w:themeColor="text1"/>
          <w:sz w:val="18"/>
          <w:szCs w:val="18"/>
        </w:rPr>
        <w:t xml:space="preserve">Renae A Lloyd, Elizabeth Hotham, Catherine Hall, Marie Williams, Vijayaprakash Suppiah, Pharmacogenomics and Patient Treatment Parameters to Opioid Treatment in Chronic Pain: A Focus on Morphine, Oxycodone, Tramadol, and Fentanyl, </w:t>
      </w:r>
      <w:r w:rsidRPr="00933C37">
        <w:rPr>
          <w:rStyle w:val="Emphasis"/>
          <w:rFonts w:cs="Arial"/>
          <w:b w:val="0"/>
          <w:color w:val="000000" w:themeColor="text1"/>
          <w:sz w:val="18"/>
          <w:szCs w:val="18"/>
        </w:rPr>
        <w:t>Pain Medicine</w:t>
      </w:r>
      <w:r w:rsidRPr="00933C37">
        <w:rPr>
          <w:rFonts w:eastAsia="Times New Roman" w:cs="Arial"/>
          <w:color w:val="000000" w:themeColor="text1"/>
          <w:sz w:val="18"/>
          <w:szCs w:val="18"/>
        </w:rPr>
        <w:t>, Volume 18, Issue 12, December 2017, Pages 2369–2387, https://doi.org/10.1093/pm/pnw317</w:t>
      </w:r>
    </w:p>
  </w:footnote>
  <w:footnote w:id="3">
    <w:p w14:paraId="4E76760D" w14:textId="77777777" w:rsidR="00E21B0A" w:rsidRPr="008A4386" w:rsidRDefault="00E21B0A" w:rsidP="00E21B0A">
      <w:pPr>
        <w:pStyle w:val="NormalWeb"/>
        <w:spacing w:before="0" w:beforeAutospacing="0" w:after="0" w:afterAutospacing="0"/>
        <w:rPr>
          <w:rFonts w:ascii="Arial" w:eastAsiaTheme="minorEastAsia" w:hAnsi="Arial" w:cs="Arial"/>
          <w:sz w:val="18"/>
          <w:szCs w:val="18"/>
        </w:rPr>
      </w:pPr>
      <w:r w:rsidRPr="008A4386">
        <w:rPr>
          <w:rStyle w:val="FootnoteReference"/>
          <w:rFonts w:ascii="Arial" w:hAnsi="Arial" w:cs="Arial"/>
          <w:sz w:val="18"/>
          <w:szCs w:val="18"/>
        </w:rPr>
        <w:footnoteRef/>
      </w:r>
      <w:r w:rsidRPr="008A4386">
        <w:rPr>
          <w:rFonts w:ascii="Arial" w:hAnsi="Arial" w:cs="Arial"/>
          <w:sz w:val="18"/>
          <w:szCs w:val="18"/>
        </w:rPr>
        <w:t xml:space="preserve"> </w:t>
      </w:r>
      <w:r w:rsidRPr="00303C83">
        <w:rPr>
          <w:rFonts w:ascii="Arial" w:eastAsiaTheme="minorEastAsia" w:hAnsi="Arial" w:cs="Arial"/>
          <w:sz w:val="18"/>
          <w:szCs w:val="18"/>
        </w:rPr>
        <w:t>Dasgupta, Nabarun PhD; Wang, Yanning MS; Bae, Jungjun BS; Kinlaw, Alan C. PhD; Chidgey, Brooke A. MD; Cooper, Toska MPH; Delcher, Chris PhD. Inches, Centimeters, and Yards, The Clinical Journal of Pain: August 2021 - Volume 37 - Issue 8 - p 565-574 doi: 10.1097/AJP.0000000000000948</w:t>
      </w:r>
    </w:p>
  </w:footnote>
  <w:footnote w:id="4">
    <w:p w14:paraId="319B9CC7" w14:textId="77777777" w:rsidR="00E21B0A" w:rsidRPr="00154575" w:rsidRDefault="00E21B0A" w:rsidP="00E21B0A">
      <w:pPr>
        <w:rPr>
          <w:rFonts w:ascii="Arial" w:hAnsi="Arial" w:cs="Arial"/>
          <w:sz w:val="20"/>
          <w:szCs w:val="20"/>
        </w:rPr>
      </w:pPr>
      <w:r w:rsidRPr="00154575">
        <w:rPr>
          <w:rStyle w:val="FootnoteReference"/>
          <w:rFonts w:ascii="Arial" w:hAnsi="Arial" w:cs="Arial"/>
          <w:sz w:val="20"/>
          <w:szCs w:val="20"/>
        </w:rPr>
        <w:footnoteRef/>
      </w:r>
      <w:r w:rsidRPr="00154575">
        <w:rPr>
          <w:rFonts w:ascii="Arial" w:hAnsi="Arial" w:cs="Arial"/>
          <w:sz w:val="20"/>
          <w:szCs w:val="20"/>
        </w:rPr>
        <w:t xml:space="preserve"> </w:t>
      </w:r>
      <w:r w:rsidRPr="00303C83">
        <w:rPr>
          <w:rStyle w:val="authors"/>
          <w:rFonts w:ascii="Arial" w:hAnsi="Arial" w:cs="Arial"/>
          <w:sz w:val="18"/>
          <w:szCs w:val="18"/>
        </w:rPr>
        <w:t>Stefan G. Kertesz, et al.</w:t>
      </w:r>
      <w:r w:rsidRPr="00303C83">
        <w:rPr>
          <w:rFonts w:ascii="Arial" w:hAnsi="Arial" w:cs="Arial"/>
          <w:sz w:val="18"/>
          <w:szCs w:val="18"/>
        </w:rPr>
        <w:t xml:space="preserve"> </w:t>
      </w:r>
      <w:r w:rsidRPr="00303C83">
        <w:rPr>
          <w:rStyle w:val="date1"/>
          <w:rFonts w:ascii="Arial" w:hAnsi="Arial" w:cs="Arial"/>
          <w:sz w:val="18"/>
          <w:szCs w:val="18"/>
        </w:rPr>
        <w:t>(2019)</w:t>
      </w:r>
      <w:r w:rsidRPr="00303C83">
        <w:rPr>
          <w:rFonts w:ascii="Arial" w:hAnsi="Arial" w:cs="Arial"/>
          <w:sz w:val="18"/>
          <w:szCs w:val="18"/>
        </w:rPr>
        <w:t xml:space="preserve"> </w:t>
      </w:r>
      <w:r w:rsidRPr="00303C83">
        <w:rPr>
          <w:rStyle w:val="arttitle"/>
          <w:rFonts w:ascii="Arial" w:hAnsi="Arial" w:cs="Arial"/>
          <w:sz w:val="18"/>
          <w:szCs w:val="18"/>
        </w:rPr>
        <w:t>Opioid discontinuation as an institutional mandate: Questions and answers on why we wrote to the Centers for Disease Control and Prevention,</w:t>
      </w:r>
      <w:r w:rsidRPr="00303C83">
        <w:rPr>
          <w:rFonts w:ascii="Arial" w:hAnsi="Arial" w:cs="Arial"/>
          <w:sz w:val="18"/>
          <w:szCs w:val="18"/>
        </w:rPr>
        <w:t xml:space="preserve"> </w:t>
      </w:r>
      <w:r w:rsidRPr="00303C83">
        <w:rPr>
          <w:rStyle w:val="serialtitle"/>
          <w:rFonts w:ascii="Arial" w:hAnsi="Arial" w:cs="Arial"/>
          <w:sz w:val="18"/>
          <w:szCs w:val="18"/>
        </w:rPr>
        <w:t>Substance Abuse,</w:t>
      </w:r>
      <w:r w:rsidRPr="00303C83">
        <w:rPr>
          <w:rFonts w:ascii="Arial" w:hAnsi="Arial" w:cs="Arial"/>
          <w:sz w:val="18"/>
          <w:szCs w:val="18"/>
        </w:rPr>
        <w:t xml:space="preserve"> </w:t>
      </w:r>
      <w:r w:rsidRPr="00303C83">
        <w:rPr>
          <w:rStyle w:val="doilink"/>
          <w:rFonts w:ascii="Arial" w:hAnsi="Arial" w:cs="Arial"/>
          <w:sz w:val="18"/>
          <w:szCs w:val="18"/>
        </w:rPr>
        <w:t>DOI: 10.1080/08897077.2019.1613830</w:t>
      </w:r>
      <w:r w:rsidRPr="00154575">
        <w:rPr>
          <w:rFonts w:ascii="Arial" w:hAnsi="Arial" w:cs="Arial"/>
          <w:sz w:val="20"/>
          <w:szCs w:val="20"/>
        </w:rPr>
        <w:t xml:space="preserve"> </w:t>
      </w:r>
    </w:p>
  </w:footnote>
  <w:footnote w:id="5">
    <w:p w14:paraId="39DA3FC8" w14:textId="77777777" w:rsidR="00E21B0A" w:rsidRPr="0081450A" w:rsidRDefault="00E21B0A" w:rsidP="00E21B0A">
      <w:pPr>
        <w:pStyle w:val="FootnoteText"/>
        <w:rPr>
          <w:rFonts w:cs="Arial"/>
          <w:color w:val="000000" w:themeColor="text1"/>
        </w:rPr>
      </w:pPr>
      <w:r w:rsidRPr="0081450A">
        <w:rPr>
          <w:rStyle w:val="FootnoteReference"/>
          <w:rFonts w:cs="Arial"/>
          <w:color w:val="000000" w:themeColor="text1"/>
        </w:rPr>
        <w:footnoteRef/>
      </w:r>
      <w:r w:rsidRPr="0081450A">
        <w:rPr>
          <w:rFonts w:cs="Arial"/>
          <w:color w:val="000000" w:themeColor="text1"/>
        </w:rPr>
        <w:t xml:space="preserve"> </w:t>
      </w:r>
      <w:r w:rsidRPr="00303C83">
        <w:rPr>
          <w:rFonts w:cs="Arial"/>
          <w:color w:val="000000" w:themeColor="text1"/>
          <w:sz w:val="18"/>
          <w:szCs w:val="18"/>
        </w:rPr>
        <w:t xml:space="preserve">Mark, T.L., Parish, W., Opioid Medication Discontinuation and Risk of Adverse Opioid-Related Health Care Events, 103 J. Subst. Abuse Treat. 58-63 (2019). </w:t>
      </w:r>
      <w:hyperlink r:id="rId1" w:history="1">
        <w:r w:rsidRPr="00303C83">
          <w:rPr>
            <w:rStyle w:val="Hyperlink"/>
            <w:sz w:val="18"/>
            <w:szCs w:val="18"/>
          </w:rPr>
          <w:t>https://doi.org/10.1016/j.jsat.2019.05.001</w:t>
        </w:r>
      </w:hyperlink>
    </w:p>
  </w:footnote>
  <w:footnote w:id="6">
    <w:p w14:paraId="04CDAC0F" w14:textId="77777777" w:rsidR="00E21B0A" w:rsidRPr="0081450A" w:rsidRDefault="00E21B0A" w:rsidP="00E21B0A">
      <w:pPr>
        <w:pStyle w:val="FootnoteText"/>
        <w:rPr>
          <w:rFonts w:eastAsia="Times New Roman" w:cs="Arial"/>
        </w:rPr>
      </w:pPr>
      <w:r w:rsidRPr="0081450A">
        <w:rPr>
          <w:rStyle w:val="FootnoteReference"/>
          <w:rFonts w:cs="Arial"/>
        </w:rPr>
        <w:footnoteRef/>
      </w:r>
      <w:r w:rsidRPr="0081450A">
        <w:rPr>
          <w:rFonts w:cs="Arial"/>
        </w:rPr>
        <w:t xml:space="preserve"> </w:t>
      </w:r>
      <w:r w:rsidRPr="00303C83">
        <w:rPr>
          <w:rStyle w:val="nlm-surname"/>
          <w:rFonts w:cs="Arial"/>
          <w:sz w:val="18"/>
          <w:szCs w:val="18"/>
        </w:rPr>
        <w:t>Oliva</w:t>
      </w:r>
      <w:r w:rsidRPr="00303C83">
        <w:rPr>
          <w:rStyle w:val="highwire-cite-authors"/>
          <w:rFonts w:eastAsia="Times New Roman" w:cs="Arial"/>
          <w:sz w:val="18"/>
          <w:szCs w:val="18"/>
        </w:rPr>
        <w:t xml:space="preserve"> </w:t>
      </w:r>
      <w:r w:rsidRPr="00303C83">
        <w:rPr>
          <w:rStyle w:val="nlm-given-names"/>
          <w:rFonts w:cs="Arial"/>
          <w:sz w:val="18"/>
          <w:szCs w:val="18"/>
        </w:rPr>
        <w:t>Elizabeth M</w:t>
      </w:r>
      <w:r w:rsidRPr="00303C83">
        <w:rPr>
          <w:rStyle w:val="highwire-cite-authors"/>
          <w:rFonts w:eastAsia="Times New Roman" w:cs="Arial"/>
          <w:sz w:val="18"/>
          <w:szCs w:val="18"/>
        </w:rPr>
        <w:t xml:space="preserve">, </w:t>
      </w:r>
      <w:r w:rsidRPr="00303C83">
        <w:rPr>
          <w:rStyle w:val="nlm-surname"/>
          <w:rFonts w:cs="Arial"/>
          <w:sz w:val="18"/>
          <w:szCs w:val="18"/>
        </w:rPr>
        <w:t>Bowe</w:t>
      </w:r>
      <w:r w:rsidRPr="00303C83">
        <w:rPr>
          <w:rStyle w:val="highwire-cite-authors"/>
          <w:rFonts w:eastAsia="Times New Roman" w:cs="Arial"/>
          <w:sz w:val="18"/>
          <w:szCs w:val="18"/>
        </w:rPr>
        <w:t xml:space="preserve"> </w:t>
      </w:r>
      <w:r w:rsidRPr="00303C83">
        <w:rPr>
          <w:rStyle w:val="nlm-given-names"/>
          <w:rFonts w:cs="Arial"/>
          <w:sz w:val="18"/>
          <w:szCs w:val="18"/>
        </w:rPr>
        <w:t>Thomas</w:t>
      </w:r>
      <w:r w:rsidRPr="00303C83">
        <w:rPr>
          <w:rStyle w:val="highwire-cite-authors"/>
          <w:rFonts w:eastAsia="Times New Roman" w:cs="Arial"/>
          <w:sz w:val="18"/>
          <w:szCs w:val="18"/>
        </w:rPr>
        <w:t xml:space="preserve">, </w:t>
      </w:r>
      <w:r w:rsidRPr="00303C83">
        <w:rPr>
          <w:rStyle w:val="nlm-surname"/>
          <w:rFonts w:cs="Arial"/>
          <w:sz w:val="18"/>
          <w:szCs w:val="18"/>
        </w:rPr>
        <w:t>Manhapra</w:t>
      </w:r>
      <w:r w:rsidRPr="00303C83">
        <w:rPr>
          <w:rStyle w:val="highwire-cite-authors"/>
          <w:rFonts w:eastAsia="Times New Roman" w:cs="Arial"/>
          <w:sz w:val="18"/>
          <w:szCs w:val="18"/>
        </w:rPr>
        <w:t xml:space="preserve"> </w:t>
      </w:r>
      <w:r w:rsidRPr="00303C83">
        <w:rPr>
          <w:rStyle w:val="nlm-given-names"/>
          <w:rFonts w:cs="Arial"/>
          <w:sz w:val="18"/>
          <w:szCs w:val="18"/>
        </w:rPr>
        <w:t>Ajay</w:t>
      </w:r>
      <w:r w:rsidRPr="00303C83">
        <w:rPr>
          <w:rStyle w:val="highwire-cite-authors"/>
          <w:rFonts w:eastAsia="Times New Roman" w:cs="Arial"/>
          <w:sz w:val="18"/>
          <w:szCs w:val="18"/>
        </w:rPr>
        <w:t xml:space="preserve">, </w:t>
      </w:r>
      <w:r w:rsidRPr="00303C83">
        <w:rPr>
          <w:rStyle w:val="nlm-surname"/>
          <w:rFonts w:cs="Arial"/>
          <w:sz w:val="18"/>
          <w:szCs w:val="18"/>
        </w:rPr>
        <w:t>Kertesz</w:t>
      </w:r>
      <w:r w:rsidRPr="00303C83">
        <w:rPr>
          <w:rStyle w:val="highwire-cite-authors"/>
          <w:rFonts w:eastAsia="Times New Roman" w:cs="Arial"/>
          <w:sz w:val="18"/>
          <w:szCs w:val="18"/>
        </w:rPr>
        <w:t xml:space="preserve"> </w:t>
      </w:r>
      <w:r w:rsidRPr="00303C83">
        <w:rPr>
          <w:rStyle w:val="nlm-given-names"/>
          <w:rFonts w:cs="Arial"/>
          <w:sz w:val="18"/>
          <w:szCs w:val="18"/>
        </w:rPr>
        <w:t>Stefan</w:t>
      </w:r>
      <w:r w:rsidRPr="00303C83">
        <w:rPr>
          <w:rStyle w:val="highwire-cite-authors"/>
          <w:rFonts w:eastAsia="Times New Roman" w:cs="Arial"/>
          <w:sz w:val="18"/>
          <w:szCs w:val="18"/>
        </w:rPr>
        <w:t xml:space="preserve">, </w:t>
      </w:r>
      <w:r w:rsidRPr="00303C83">
        <w:rPr>
          <w:rStyle w:val="nlm-surname"/>
          <w:rFonts w:cs="Arial"/>
          <w:sz w:val="18"/>
          <w:szCs w:val="18"/>
        </w:rPr>
        <w:t>Hah</w:t>
      </w:r>
      <w:r w:rsidRPr="00303C83">
        <w:rPr>
          <w:rStyle w:val="highwire-cite-authors"/>
          <w:rFonts w:eastAsia="Times New Roman" w:cs="Arial"/>
          <w:sz w:val="18"/>
          <w:szCs w:val="18"/>
        </w:rPr>
        <w:t xml:space="preserve"> </w:t>
      </w:r>
      <w:r w:rsidRPr="00303C83">
        <w:rPr>
          <w:rStyle w:val="nlm-given-names"/>
          <w:rFonts w:cs="Arial"/>
          <w:sz w:val="18"/>
          <w:szCs w:val="18"/>
        </w:rPr>
        <w:t>Jennifer M</w:t>
      </w:r>
      <w:r w:rsidRPr="00303C83">
        <w:rPr>
          <w:rStyle w:val="highwire-cite-authors"/>
          <w:rFonts w:eastAsia="Times New Roman" w:cs="Arial"/>
          <w:sz w:val="18"/>
          <w:szCs w:val="18"/>
        </w:rPr>
        <w:t xml:space="preserve">, </w:t>
      </w:r>
      <w:r w:rsidRPr="00303C83">
        <w:rPr>
          <w:rStyle w:val="nlm-surname"/>
          <w:rFonts w:cs="Arial"/>
          <w:sz w:val="18"/>
          <w:szCs w:val="18"/>
        </w:rPr>
        <w:t>Henderson</w:t>
      </w:r>
      <w:r w:rsidRPr="00303C83">
        <w:rPr>
          <w:rStyle w:val="highwire-cite-authors"/>
          <w:rFonts w:eastAsia="Times New Roman" w:cs="Arial"/>
          <w:sz w:val="18"/>
          <w:szCs w:val="18"/>
        </w:rPr>
        <w:t xml:space="preserve"> </w:t>
      </w:r>
      <w:r w:rsidRPr="00303C83">
        <w:rPr>
          <w:rStyle w:val="nlm-given-names"/>
          <w:rFonts w:cs="Arial"/>
          <w:sz w:val="18"/>
          <w:szCs w:val="18"/>
        </w:rPr>
        <w:t>Patricia</w:t>
      </w:r>
      <w:r w:rsidRPr="00303C83">
        <w:rPr>
          <w:rStyle w:val="highwire-cite-authors"/>
          <w:rFonts w:eastAsia="Times New Roman" w:cs="Arial"/>
          <w:sz w:val="18"/>
          <w:szCs w:val="18"/>
        </w:rPr>
        <w:t xml:space="preserve"> et al. </w:t>
      </w:r>
      <w:r w:rsidRPr="00303C83">
        <w:rPr>
          <w:rStyle w:val="highwire-cite-title"/>
          <w:rFonts w:eastAsia="Times New Roman" w:cs="Arial"/>
          <w:sz w:val="18"/>
          <w:szCs w:val="18"/>
        </w:rPr>
        <w:t>Associations between stopping prescriptions for opioids, length of opioid treatment, and overdose or suicide deaths in US veterans: observational evaluation</w:t>
      </w:r>
      <w:r w:rsidRPr="00303C83">
        <w:rPr>
          <w:rFonts w:eastAsia="Times New Roman" w:cs="Arial"/>
          <w:sz w:val="18"/>
          <w:szCs w:val="18"/>
        </w:rPr>
        <w:t xml:space="preserve"> </w:t>
      </w:r>
      <w:r w:rsidRPr="00303C83">
        <w:rPr>
          <w:rStyle w:val="highwire-cite-metadata-journal"/>
          <w:rFonts w:eastAsia="Times New Roman" w:cs="Arial"/>
          <w:sz w:val="18"/>
          <w:szCs w:val="18"/>
        </w:rPr>
        <w:t xml:space="preserve">BMJ </w:t>
      </w:r>
      <w:r w:rsidRPr="00303C83">
        <w:rPr>
          <w:rStyle w:val="highwire-cite-metadata-date"/>
          <w:rFonts w:eastAsia="Times New Roman" w:cs="Arial"/>
          <w:sz w:val="18"/>
          <w:szCs w:val="18"/>
        </w:rPr>
        <w:t xml:space="preserve">2020; </w:t>
      </w:r>
      <w:r w:rsidRPr="00303C83">
        <w:rPr>
          <w:rStyle w:val="highwire-cite-metadata-volume"/>
          <w:rFonts w:eastAsia="Times New Roman" w:cs="Arial"/>
          <w:sz w:val="18"/>
          <w:szCs w:val="18"/>
        </w:rPr>
        <w:t xml:space="preserve">368 :m283 </w:t>
      </w:r>
      <w:r w:rsidRPr="00303C83">
        <w:rPr>
          <w:rStyle w:val="highwire-cite-doi"/>
          <w:rFonts w:eastAsia="Times New Roman" w:cs="Arial"/>
          <w:iCs/>
          <w:sz w:val="18"/>
          <w:szCs w:val="18"/>
        </w:rPr>
        <w:t xml:space="preserve">doi: </w:t>
      </w:r>
      <w:hyperlink r:id="rId2" w:history="1">
        <w:r w:rsidRPr="00303C83">
          <w:rPr>
            <w:rStyle w:val="Hyperlink"/>
            <w:rFonts w:cs="Arial"/>
            <w:sz w:val="18"/>
            <w:szCs w:val="18"/>
          </w:rPr>
          <w:t>https://doi.org/10.1136/bmj.m283</w:t>
        </w:r>
      </w:hyperlink>
    </w:p>
  </w:footnote>
  <w:footnote w:id="7">
    <w:p w14:paraId="614E6B1A" w14:textId="77777777" w:rsidR="00E21B0A" w:rsidRPr="0081450A" w:rsidRDefault="00E21B0A" w:rsidP="00E21B0A">
      <w:pPr>
        <w:rPr>
          <w:rFonts w:cs="Arial"/>
          <w:color w:val="000000" w:themeColor="text1"/>
          <w:sz w:val="20"/>
          <w:szCs w:val="20"/>
        </w:rPr>
      </w:pPr>
      <w:r w:rsidRPr="0081450A">
        <w:rPr>
          <w:rStyle w:val="FootnoteReference"/>
          <w:rFonts w:cs="Arial"/>
          <w:color w:val="000000" w:themeColor="text1"/>
          <w:sz w:val="20"/>
          <w:szCs w:val="20"/>
        </w:rPr>
        <w:footnoteRef/>
      </w:r>
      <w:r w:rsidRPr="007B3151">
        <w:rPr>
          <w:rFonts w:ascii="Arial" w:hAnsi="Arial" w:cs="Arial"/>
          <w:color w:val="000000" w:themeColor="text1"/>
          <w:sz w:val="20"/>
          <w:szCs w:val="20"/>
        </w:rPr>
        <w:t xml:space="preserve"> </w:t>
      </w:r>
      <w:r w:rsidRPr="00303C83">
        <w:rPr>
          <w:rFonts w:ascii="Arial" w:hAnsi="Arial" w:cs="Arial"/>
          <w:color w:val="000000" w:themeColor="text1"/>
          <w:spacing w:val="4"/>
          <w:sz w:val="18"/>
          <w:szCs w:val="18"/>
          <w:shd w:val="clear" w:color="auto" w:fill="FCFCFC"/>
        </w:rPr>
        <w:t xml:space="preserve">James, J.R., Scott, J.M., Klein, J.W. et al. Mortality after discontinuation of primary care-based chronic opioid therapy for pain: a retrospective cohort study. J GEN INTERN MED (2019) 34: 2749. </w:t>
      </w:r>
      <w:hyperlink r:id="rId3" w:history="1">
        <w:r w:rsidRPr="00303C83">
          <w:rPr>
            <w:rStyle w:val="Hyperlink"/>
            <w:rFonts w:ascii="Arial" w:hAnsi="Arial" w:cs="Arial"/>
            <w:spacing w:val="4"/>
            <w:sz w:val="18"/>
            <w:szCs w:val="18"/>
            <w:shd w:val="clear" w:color="auto" w:fill="FCFCFC"/>
          </w:rPr>
          <w:t>https://doi.org/10.1007/s11606-019-05301-2</w:t>
        </w:r>
      </w:hyperlink>
    </w:p>
  </w:footnote>
  <w:footnote w:id="8">
    <w:p w14:paraId="186FB25E" w14:textId="77777777" w:rsidR="00E21B0A" w:rsidRPr="0081450A" w:rsidRDefault="00E21B0A" w:rsidP="00E21B0A">
      <w:pPr>
        <w:pStyle w:val="FootnoteText"/>
        <w:rPr>
          <w:rFonts w:cs="Arial"/>
          <w:color w:val="000000" w:themeColor="text1"/>
        </w:rPr>
      </w:pPr>
      <w:r w:rsidRPr="0081450A">
        <w:rPr>
          <w:rStyle w:val="FootnoteReference"/>
          <w:rFonts w:cs="Arial"/>
          <w:color w:val="000000" w:themeColor="text1"/>
        </w:rPr>
        <w:footnoteRef/>
      </w:r>
      <w:r w:rsidRPr="0081450A">
        <w:rPr>
          <w:rFonts w:cs="Arial"/>
          <w:color w:val="000000" w:themeColor="text1"/>
        </w:rPr>
        <w:t xml:space="preserve"> </w:t>
      </w:r>
      <w:r w:rsidRPr="00303C83">
        <w:rPr>
          <w:rFonts w:cs="Arial"/>
          <w:color w:val="000000" w:themeColor="text1"/>
          <w:sz w:val="18"/>
          <w:szCs w:val="18"/>
        </w:rPr>
        <w:t xml:space="preserve">Glanz JM, Binswanger IA, Shetterly SM, Narwaney KJ, Xu S. Association Between Opioid Dose Variability and Opioid Overdose Among Adults Prescribed Long-term Opioid Therapy. </w:t>
      </w:r>
      <w:r w:rsidRPr="00303C83">
        <w:rPr>
          <w:rStyle w:val="Emphasis"/>
          <w:rFonts w:cs="Arial"/>
          <w:b w:val="0"/>
          <w:color w:val="000000" w:themeColor="text1"/>
          <w:sz w:val="18"/>
          <w:szCs w:val="18"/>
        </w:rPr>
        <w:t>JAMA Netw Open.</w:t>
      </w:r>
      <w:r w:rsidRPr="00303C83">
        <w:rPr>
          <w:rFonts w:cs="Arial"/>
          <w:b/>
          <w:bCs/>
          <w:color w:val="000000" w:themeColor="text1"/>
          <w:sz w:val="18"/>
          <w:szCs w:val="18"/>
        </w:rPr>
        <w:t xml:space="preserve"> </w:t>
      </w:r>
      <w:r w:rsidRPr="00303C83">
        <w:rPr>
          <w:rFonts w:cs="Arial"/>
          <w:color w:val="000000" w:themeColor="text1"/>
          <w:sz w:val="18"/>
          <w:szCs w:val="18"/>
        </w:rPr>
        <w:t xml:space="preserve">2019;2(4):e192613. </w:t>
      </w:r>
      <w:hyperlink r:id="rId4" w:history="1">
        <w:r w:rsidRPr="00303C83">
          <w:rPr>
            <w:rStyle w:val="Hyperlink"/>
            <w:rFonts w:cs="Arial"/>
            <w:sz w:val="18"/>
            <w:szCs w:val="18"/>
          </w:rPr>
          <w:t>doi:10.1001/jamanetworkopen.2019.2613</w:t>
        </w:r>
      </w:hyperlink>
    </w:p>
  </w:footnote>
  <w:footnote w:id="9">
    <w:p w14:paraId="101A8589" w14:textId="77777777" w:rsidR="00E21B0A" w:rsidRPr="0081450A" w:rsidRDefault="00E21B0A" w:rsidP="00E21B0A">
      <w:pPr>
        <w:pStyle w:val="FootnoteText"/>
        <w:rPr>
          <w:rFonts w:cs="Arial"/>
          <w:color w:val="000000" w:themeColor="text1"/>
        </w:rPr>
      </w:pPr>
      <w:r w:rsidRPr="0081450A">
        <w:rPr>
          <w:rStyle w:val="FootnoteReference"/>
          <w:rFonts w:cs="Arial"/>
          <w:color w:val="000000" w:themeColor="text1"/>
        </w:rPr>
        <w:footnoteRef/>
      </w:r>
      <w:r>
        <w:rPr>
          <w:rFonts w:cs="Arial"/>
          <w:color w:val="000000" w:themeColor="text1"/>
          <w:sz w:val="18"/>
          <w:szCs w:val="18"/>
        </w:rPr>
        <w:t xml:space="preserve"> </w:t>
      </w:r>
      <w:r w:rsidRPr="00303C83">
        <w:rPr>
          <w:rFonts w:cs="Arial"/>
          <w:color w:val="000000" w:themeColor="text1"/>
          <w:sz w:val="18"/>
          <w:szCs w:val="18"/>
        </w:rPr>
        <w:t xml:space="preserve">Perez, H., M. Buonora, C., Cunningham, M. et al., </w:t>
      </w:r>
      <w:r w:rsidRPr="00303C83">
        <w:rPr>
          <w:rFonts w:cs="Arial"/>
          <w:i/>
          <w:iCs/>
          <w:color w:val="000000" w:themeColor="text1"/>
          <w:sz w:val="18"/>
          <w:szCs w:val="18"/>
        </w:rPr>
        <w:t>Opioid Taper Is Associated with Subsequent Termination of Care: A Retrospective Cohort Study</w:t>
      </w:r>
      <w:r w:rsidRPr="00303C83">
        <w:rPr>
          <w:rFonts w:cs="Arial"/>
          <w:color w:val="000000" w:themeColor="text1"/>
          <w:sz w:val="18"/>
          <w:szCs w:val="18"/>
        </w:rPr>
        <w:t>, J Gen Intern Med</w:t>
      </w:r>
      <w:r w:rsidRPr="00303C83">
        <w:rPr>
          <w:rFonts w:cs="Arial"/>
          <w:i/>
          <w:iCs/>
          <w:color w:val="000000" w:themeColor="text1"/>
          <w:sz w:val="18"/>
          <w:szCs w:val="18"/>
        </w:rPr>
        <w:t xml:space="preserve"> </w:t>
      </w:r>
      <w:r w:rsidRPr="00303C83">
        <w:rPr>
          <w:rFonts w:cs="Arial"/>
          <w:color w:val="000000" w:themeColor="text1"/>
          <w:sz w:val="18"/>
          <w:szCs w:val="18"/>
        </w:rPr>
        <w:t xml:space="preserve"> (Aug 19 2019). </w:t>
      </w:r>
      <w:hyperlink r:id="rId5" w:history="1">
        <w:r w:rsidRPr="00303C83">
          <w:rPr>
            <w:rStyle w:val="Hyperlink"/>
            <w:sz w:val="18"/>
            <w:szCs w:val="18"/>
          </w:rPr>
          <w:t>https://doi.org/10.1007/s11606-019-05227-9</w:t>
        </w:r>
      </w:hyperlink>
    </w:p>
  </w:footnote>
  <w:footnote w:id="10">
    <w:p w14:paraId="648193E3" w14:textId="77777777" w:rsidR="00E21B0A" w:rsidRPr="0081450A" w:rsidRDefault="00E21B0A" w:rsidP="00E21B0A">
      <w:pPr>
        <w:pStyle w:val="FootnoteText"/>
        <w:rPr>
          <w:rFonts w:cs="Arial"/>
          <w:color w:val="000000" w:themeColor="text1"/>
        </w:rPr>
      </w:pPr>
      <w:r w:rsidRPr="0081450A">
        <w:rPr>
          <w:rStyle w:val="FootnoteReference"/>
          <w:rFonts w:cs="Arial"/>
          <w:color w:val="000000" w:themeColor="text1"/>
        </w:rPr>
        <w:footnoteRef/>
      </w:r>
      <w:r w:rsidRPr="0081450A">
        <w:rPr>
          <w:rFonts w:cs="Arial"/>
          <w:color w:val="000000" w:themeColor="text1"/>
        </w:rPr>
        <w:t xml:space="preserve"> </w:t>
      </w:r>
      <w:r w:rsidRPr="00303C83">
        <w:rPr>
          <w:rFonts w:cs="Arial"/>
          <w:color w:val="000000" w:themeColor="text1"/>
          <w:sz w:val="18"/>
          <w:szCs w:val="18"/>
        </w:rPr>
        <w:t xml:space="preserve">Demidenko MI, et al. </w:t>
      </w:r>
      <w:r w:rsidRPr="00303C83">
        <w:rPr>
          <w:rFonts w:eastAsia="Times New Roman" w:cs="Arial"/>
          <w:color w:val="000000" w:themeColor="text1"/>
          <w:sz w:val="18"/>
          <w:szCs w:val="18"/>
        </w:rPr>
        <w:t xml:space="preserve">Suicidal ideation and suicidal self-directed violence following clinician-initiated prescription opioid discontinuation among long-term opioid users, Gen Hosp Psychiatry. 2017 Jul;47:29-35. </w:t>
      </w:r>
      <w:hyperlink r:id="rId6" w:history="1">
        <w:r w:rsidRPr="00303C83">
          <w:rPr>
            <w:rStyle w:val="Hyperlink"/>
            <w:rFonts w:cs="Arial"/>
            <w:sz w:val="18"/>
            <w:szCs w:val="18"/>
          </w:rPr>
          <w:t>doi:10.1016/j.genhosppsych.2017.04.011</w:t>
        </w:r>
      </w:hyperlink>
      <w:r w:rsidRPr="00303C83">
        <w:rPr>
          <w:rFonts w:eastAsia="Times New Roman" w:cs="Arial"/>
          <w:color w:val="000000" w:themeColor="text1"/>
          <w:sz w:val="18"/>
          <w:szCs w:val="18"/>
        </w:rPr>
        <w:t xml:space="preserve"> Epub 2017 Apr 27.</w:t>
      </w:r>
    </w:p>
  </w:footnote>
  <w:footnote w:id="11">
    <w:p w14:paraId="5A13515E" w14:textId="77777777" w:rsidR="00E21B0A" w:rsidRPr="0081450A" w:rsidRDefault="00E21B0A" w:rsidP="00E21B0A">
      <w:pPr>
        <w:rPr>
          <w:rFonts w:cs="Arial"/>
          <w:color w:val="000000" w:themeColor="text1"/>
          <w:sz w:val="20"/>
          <w:szCs w:val="20"/>
        </w:rPr>
      </w:pPr>
      <w:r w:rsidRPr="0081450A">
        <w:rPr>
          <w:rStyle w:val="FootnoteReference"/>
          <w:rFonts w:cs="Arial"/>
          <w:color w:val="000000" w:themeColor="text1"/>
          <w:sz w:val="20"/>
          <w:szCs w:val="20"/>
        </w:rPr>
        <w:footnoteRef/>
      </w:r>
      <w:r w:rsidRPr="007B3151">
        <w:rPr>
          <w:rFonts w:ascii="Arial" w:hAnsi="Arial" w:cs="Arial"/>
          <w:color w:val="000000" w:themeColor="text1"/>
          <w:sz w:val="20"/>
          <w:szCs w:val="20"/>
        </w:rPr>
        <w:t xml:space="preserve"> </w:t>
      </w:r>
      <w:r w:rsidRPr="00303C83">
        <w:rPr>
          <w:rFonts w:ascii="Arial" w:hAnsi="Arial" w:cs="Arial"/>
          <w:color w:val="000000" w:themeColor="text1"/>
          <w:sz w:val="18"/>
          <w:szCs w:val="18"/>
        </w:rPr>
        <w:t xml:space="preserve">Fenton, J., Agnoli, A., Xing, G., et al., </w:t>
      </w:r>
      <w:r w:rsidRPr="00303C83">
        <w:rPr>
          <w:rFonts w:ascii="Arial" w:hAnsi="Arial" w:cs="Arial"/>
          <w:iCs/>
          <w:color w:val="000000" w:themeColor="text1"/>
          <w:sz w:val="18"/>
          <w:szCs w:val="18"/>
        </w:rPr>
        <w:t>Trends and Rapidity of Dose Tapering among Patients Prescribed Long-Term Opioid Therapy, 2008-2017</w:t>
      </w:r>
      <w:r w:rsidRPr="00303C83">
        <w:rPr>
          <w:rFonts w:ascii="Arial" w:hAnsi="Arial" w:cs="Arial"/>
          <w:color w:val="000000" w:themeColor="text1"/>
          <w:sz w:val="18"/>
          <w:szCs w:val="18"/>
        </w:rPr>
        <w:t xml:space="preserve">. </w:t>
      </w:r>
      <w:r w:rsidRPr="00303C83">
        <w:rPr>
          <w:rStyle w:val="Emphasis"/>
          <w:rFonts w:ascii="Arial" w:hAnsi="Arial" w:cs="Arial"/>
          <w:b w:val="0"/>
          <w:color w:val="000000" w:themeColor="text1"/>
          <w:sz w:val="18"/>
          <w:szCs w:val="18"/>
          <w:shd w:val="clear" w:color="auto" w:fill="FFFFFF"/>
        </w:rPr>
        <w:t>JAMA Netw Open.</w:t>
      </w:r>
      <w:r w:rsidRPr="00303C83">
        <w:rPr>
          <w:rFonts w:ascii="Arial" w:hAnsi="Arial" w:cs="Arial"/>
          <w:b/>
          <w:color w:val="000000" w:themeColor="text1"/>
          <w:sz w:val="18"/>
          <w:szCs w:val="18"/>
          <w:shd w:val="clear" w:color="auto" w:fill="FFFFFF"/>
        </w:rPr>
        <w:t> </w:t>
      </w:r>
      <w:r w:rsidRPr="00303C83">
        <w:rPr>
          <w:rFonts w:ascii="Arial" w:hAnsi="Arial" w:cs="Arial"/>
          <w:color w:val="000000" w:themeColor="text1"/>
          <w:sz w:val="18"/>
          <w:szCs w:val="18"/>
          <w:shd w:val="clear" w:color="auto" w:fill="FFFFFF"/>
        </w:rPr>
        <w:t xml:space="preserve">2019;2(11):e1916271. </w:t>
      </w:r>
      <w:hyperlink r:id="rId7" w:history="1">
        <w:r w:rsidRPr="00303C83">
          <w:rPr>
            <w:rStyle w:val="Hyperlink"/>
            <w:rFonts w:ascii="Arial" w:hAnsi="Arial" w:cs="Arial"/>
            <w:sz w:val="18"/>
            <w:szCs w:val="18"/>
            <w:shd w:val="clear" w:color="auto" w:fill="FFFFFF"/>
          </w:rPr>
          <w:t>https://doi.org/10.1001/jamanetworkopen.2019.16271</w:t>
        </w:r>
      </w:hyperlink>
      <w:hyperlink w:history="1"/>
    </w:p>
  </w:footnote>
  <w:footnote w:id="12">
    <w:p w14:paraId="32255E30" w14:textId="77777777" w:rsidR="00E21B0A" w:rsidRDefault="00E21B0A" w:rsidP="00E21B0A">
      <w:pPr>
        <w:pStyle w:val="FootnoteText"/>
      </w:pPr>
      <w:r>
        <w:rPr>
          <w:rStyle w:val="FootnoteReference"/>
        </w:rPr>
        <w:footnoteRef/>
      </w:r>
      <w:r>
        <w:t xml:space="preserve"> </w:t>
      </w:r>
      <w:r w:rsidRPr="00303C83">
        <w:rPr>
          <w:rFonts w:eastAsia="Times New Roman"/>
          <w:sz w:val="18"/>
          <w:szCs w:val="18"/>
        </w:rPr>
        <w:t xml:space="preserve">Neprash, H.T., Gaye, M. &amp; Barnett, M.L. Abrupt Discontinuation of Long-term Opioid Therapy Among Medicare Beneficiaries, 2012–2017. </w:t>
      </w:r>
      <w:r w:rsidRPr="00303C83">
        <w:rPr>
          <w:rFonts w:eastAsia="Times New Roman"/>
          <w:i/>
          <w:iCs/>
          <w:sz w:val="18"/>
          <w:szCs w:val="18"/>
        </w:rPr>
        <w:t>J GEN INTERN MED</w:t>
      </w:r>
      <w:r w:rsidRPr="00303C83">
        <w:rPr>
          <w:rFonts w:eastAsia="Times New Roman"/>
          <w:sz w:val="18"/>
          <w:szCs w:val="18"/>
        </w:rPr>
        <w:t xml:space="preserve"> (2021). </w:t>
      </w:r>
      <w:hyperlink r:id="rId8" w:history="1">
        <w:r w:rsidRPr="00303C83">
          <w:rPr>
            <w:rStyle w:val="Hyperlink"/>
            <w:sz w:val="18"/>
            <w:szCs w:val="18"/>
          </w:rPr>
          <w:t>https://doi.org/10.1007/s11606-020-06402-z</w:t>
        </w:r>
      </w:hyperlink>
    </w:p>
  </w:footnote>
  <w:footnote w:id="13">
    <w:p w14:paraId="5E9B2583" w14:textId="77777777" w:rsidR="00E21B0A" w:rsidRPr="00154575" w:rsidRDefault="00E21B0A" w:rsidP="00E21B0A">
      <w:pPr>
        <w:rPr>
          <w:rFonts w:ascii="Arial" w:hAnsi="Arial" w:cs="Arial"/>
          <w:sz w:val="20"/>
          <w:szCs w:val="20"/>
        </w:rPr>
      </w:pPr>
      <w:r w:rsidRPr="00154575">
        <w:rPr>
          <w:rStyle w:val="FootnoteReference"/>
          <w:rFonts w:ascii="Arial" w:hAnsi="Arial" w:cs="Arial"/>
          <w:sz w:val="20"/>
          <w:szCs w:val="20"/>
        </w:rPr>
        <w:footnoteRef/>
      </w:r>
      <w:r w:rsidRPr="00154575">
        <w:rPr>
          <w:rFonts w:ascii="Arial" w:hAnsi="Arial" w:cs="Arial"/>
          <w:sz w:val="20"/>
          <w:szCs w:val="20"/>
        </w:rPr>
        <w:t xml:space="preserve"> </w:t>
      </w:r>
      <w:r w:rsidRPr="00303C83">
        <w:rPr>
          <w:rFonts w:ascii="Arial" w:hAnsi="Arial" w:cs="Arial"/>
          <w:sz w:val="18"/>
          <w:szCs w:val="18"/>
        </w:rPr>
        <w:t>National Committee on Quality Assurance, NCQA Seeks Feedba</w:t>
      </w:r>
      <w:r>
        <w:rPr>
          <w:rFonts w:ascii="Arial" w:hAnsi="Arial" w:cs="Arial"/>
          <w:sz w:val="18"/>
          <w:szCs w:val="18"/>
        </w:rPr>
        <w:t>ck on New and Revised Measures.</w:t>
      </w:r>
      <w:r w:rsidRPr="00303C83">
        <w:rPr>
          <w:rFonts w:ascii="Arial" w:hAnsi="Arial" w:cs="Arial"/>
          <w:sz w:val="18"/>
          <w:szCs w:val="18"/>
        </w:rPr>
        <w:t xml:space="preserve"> https://www.ncqa.org/news/ncqa-seeks-feedback-on-new-and-revised-measures/</w:t>
      </w:r>
    </w:p>
  </w:footnote>
  <w:footnote w:id="14">
    <w:p w14:paraId="00FAF6C6" w14:textId="77777777" w:rsidR="00E21B0A" w:rsidRPr="00154575" w:rsidRDefault="00E21B0A" w:rsidP="00E21B0A">
      <w:pPr>
        <w:pStyle w:val="FootnoteText"/>
        <w:rPr>
          <w:rFonts w:cs="Arial"/>
        </w:rPr>
      </w:pPr>
      <w:r w:rsidRPr="00154575">
        <w:rPr>
          <w:rStyle w:val="FootnoteReference"/>
          <w:rFonts w:cs="Arial"/>
        </w:rPr>
        <w:footnoteRef/>
      </w:r>
      <w:r w:rsidRPr="00154575">
        <w:rPr>
          <w:rFonts w:cs="Arial"/>
        </w:rPr>
        <w:t xml:space="preserve"> </w:t>
      </w:r>
      <w:r w:rsidRPr="00303C83">
        <w:rPr>
          <w:rFonts w:cs="Arial"/>
          <w:sz w:val="18"/>
          <w:szCs w:val="18"/>
        </w:rPr>
        <w:t>Stefan G. Kertesz, et al. (2017) An opioid quality metric based on dose alone? 80 professionals respond to NCQA. https://medium.com/@StefanKertesz/an-opioid-quality-metric-based-on-dose-alone-80-professionals-respond-to-ncqa-6f9fbaa2338</w:t>
      </w:r>
    </w:p>
  </w:footnote>
  <w:footnote w:id="15">
    <w:p w14:paraId="36D9B7C9" w14:textId="77777777" w:rsidR="00E21B0A" w:rsidRPr="00154575" w:rsidRDefault="00E21B0A" w:rsidP="00E21B0A">
      <w:pPr>
        <w:pStyle w:val="FootnoteText"/>
        <w:rPr>
          <w:rFonts w:cs="Arial"/>
        </w:rPr>
      </w:pPr>
      <w:r w:rsidRPr="00154575">
        <w:rPr>
          <w:rStyle w:val="FootnoteReference"/>
          <w:rFonts w:cs="Arial"/>
        </w:rPr>
        <w:footnoteRef/>
      </w:r>
      <w:r w:rsidRPr="00154575">
        <w:rPr>
          <w:rFonts w:cs="Arial"/>
        </w:rPr>
        <w:t xml:space="preserve"> </w:t>
      </w:r>
      <w:r w:rsidRPr="00303C83">
        <w:rPr>
          <w:rFonts w:cs="Arial"/>
          <w:sz w:val="18"/>
          <w:szCs w:val="18"/>
        </w:rPr>
        <w:t>Walmart Corporate Newsroom, “Walmart introduces additional measures to help curb opioid abuse and misuse,” May 7, 2018. https://corporate.walmart.com/newsroom/2018/05/07/walmart-introduces-additional-measures-to-help-curb-opioid-abuse-and-misuse</w:t>
      </w:r>
    </w:p>
  </w:footnote>
  <w:footnote w:id="16">
    <w:p w14:paraId="596C7A27" w14:textId="77777777" w:rsidR="00E21B0A" w:rsidRPr="00154575" w:rsidRDefault="00E21B0A" w:rsidP="00E21B0A">
      <w:pPr>
        <w:pStyle w:val="FootnoteText"/>
        <w:rPr>
          <w:rFonts w:cs="Arial"/>
        </w:rPr>
      </w:pPr>
      <w:r w:rsidRPr="00154575">
        <w:rPr>
          <w:rStyle w:val="FootnoteReference"/>
          <w:rFonts w:cs="Arial"/>
        </w:rPr>
        <w:footnoteRef/>
      </w:r>
      <w:r w:rsidRPr="00154575">
        <w:rPr>
          <w:rFonts w:cs="Arial"/>
        </w:rPr>
        <w:t xml:space="preserve"> </w:t>
      </w:r>
      <w:r w:rsidRPr="00303C83">
        <w:rPr>
          <w:rFonts w:cs="Arial"/>
          <w:sz w:val="18"/>
          <w:szCs w:val="18"/>
        </w:rPr>
        <w:t>Letter from Lidgerwood Medical Clinic, Kaiser Permanente, Spokane, WA. https://twitter.com/CanadaPain/status/1189482268924022785</w:t>
      </w:r>
    </w:p>
  </w:footnote>
  <w:footnote w:id="17">
    <w:p w14:paraId="31971132" w14:textId="77777777" w:rsidR="00E21B0A" w:rsidRPr="00154575" w:rsidRDefault="00E21B0A" w:rsidP="00E21B0A">
      <w:pPr>
        <w:pStyle w:val="FootnoteText"/>
        <w:rPr>
          <w:rFonts w:cs="Arial"/>
          <w:color w:val="000000" w:themeColor="text1"/>
        </w:rPr>
      </w:pPr>
      <w:r w:rsidRPr="00154575">
        <w:rPr>
          <w:rStyle w:val="FootnoteReference"/>
          <w:rFonts w:cs="Arial"/>
          <w:color w:val="000000" w:themeColor="text1"/>
        </w:rPr>
        <w:footnoteRef/>
      </w:r>
      <w:r w:rsidRPr="00154575">
        <w:rPr>
          <w:rFonts w:cs="Arial"/>
          <w:color w:val="000000" w:themeColor="text1"/>
        </w:rPr>
        <w:t xml:space="preserve"> </w:t>
      </w:r>
      <w:r w:rsidRPr="00303C83">
        <w:rPr>
          <w:rFonts w:cs="Arial"/>
          <w:color w:val="000000" w:themeColor="text1"/>
          <w:sz w:val="18"/>
          <w:szCs w:val="18"/>
        </w:rPr>
        <w:t>NCQA HEDIS measures 2019, https://www.ncqa.org/hedis/measures/use-of-opioids-at-high-dosage/</w:t>
      </w:r>
    </w:p>
  </w:footnote>
  <w:footnote w:id="18">
    <w:p w14:paraId="0B7B7BA4" w14:textId="77777777" w:rsidR="00E21B0A" w:rsidRPr="00154575" w:rsidRDefault="00E21B0A" w:rsidP="00E21B0A">
      <w:pPr>
        <w:pStyle w:val="FootnoteText"/>
        <w:rPr>
          <w:rFonts w:cs="Arial"/>
          <w:color w:val="000000" w:themeColor="text1"/>
        </w:rPr>
      </w:pPr>
      <w:r w:rsidRPr="00154575">
        <w:rPr>
          <w:rStyle w:val="FootnoteReference"/>
          <w:rFonts w:cs="Arial"/>
          <w:color w:val="000000" w:themeColor="text1"/>
        </w:rPr>
        <w:footnoteRef/>
      </w:r>
      <w:r w:rsidRPr="00154575">
        <w:rPr>
          <w:rFonts w:cs="Arial"/>
          <w:color w:val="000000" w:themeColor="text1"/>
        </w:rPr>
        <w:t xml:space="preserve"> </w:t>
      </w:r>
      <w:r w:rsidRPr="00303C83">
        <w:rPr>
          <w:rFonts w:eastAsia="Times New Roman" w:cs="Arial"/>
          <w:color w:val="000000" w:themeColor="text1"/>
          <w:sz w:val="18"/>
          <w:szCs w:val="18"/>
        </w:rPr>
        <w:t xml:space="preserve">Medicaid Innovation Accelerator Program Webinar, August 29, 2019. </w:t>
      </w:r>
      <w:r w:rsidRPr="00303C83">
        <w:rPr>
          <w:rFonts w:cs="Arial"/>
          <w:color w:val="000000" w:themeColor="text1"/>
          <w:sz w:val="18"/>
          <w:szCs w:val="18"/>
        </w:rPr>
        <w:t>https://www.medicaid.gov/state-resource-center/innovation-accelerator-program/iap-downloads/reducing-substance-use-disorders/alt-pain-treatment-transcript.pdf</w:t>
      </w:r>
    </w:p>
  </w:footnote>
  <w:footnote w:id="19">
    <w:p w14:paraId="1B42F934" w14:textId="77777777" w:rsidR="00E21B0A" w:rsidRPr="00154575" w:rsidRDefault="00E21B0A" w:rsidP="00E21B0A">
      <w:pPr>
        <w:pStyle w:val="FootnoteText"/>
        <w:rPr>
          <w:rFonts w:cs="Arial"/>
          <w:color w:val="000000" w:themeColor="text1"/>
        </w:rPr>
      </w:pPr>
      <w:r w:rsidRPr="00154575">
        <w:rPr>
          <w:rStyle w:val="FootnoteReference"/>
          <w:rFonts w:cs="Arial"/>
          <w:color w:val="000000" w:themeColor="text1"/>
        </w:rPr>
        <w:footnoteRef/>
      </w:r>
      <w:r w:rsidRPr="00154575">
        <w:rPr>
          <w:rFonts w:cs="Arial"/>
          <w:color w:val="000000" w:themeColor="text1"/>
        </w:rPr>
        <w:t xml:space="preserve"> </w:t>
      </w:r>
      <w:r w:rsidRPr="00303C83">
        <w:rPr>
          <w:rFonts w:cs="Arial"/>
          <w:color w:val="000000" w:themeColor="text1"/>
          <w:sz w:val="18"/>
          <w:szCs w:val="18"/>
        </w:rPr>
        <w:t>“OptumRX Significantly Reduces Opioid Prescribing with Management Program,” First Report Managed Care, August 25, 2017. https://www.managedhealthcareconnect.com/content/optumrx-significantly-reduces-opioid-prescribing-management-program</w:t>
      </w:r>
    </w:p>
  </w:footnote>
  <w:footnote w:id="20">
    <w:p w14:paraId="735F0353" w14:textId="77777777" w:rsidR="00E21B0A" w:rsidRDefault="00E21B0A" w:rsidP="00E21B0A">
      <w:pPr>
        <w:pStyle w:val="FootnoteText"/>
      </w:pPr>
      <w:r>
        <w:rPr>
          <w:rStyle w:val="FootnoteReference"/>
        </w:rPr>
        <w:footnoteRef/>
      </w:r>
      <w:r>
        <w:t xml:space="preserve"> </w:t>
      </w:r>
      <w:r w:rsidRPr="00303C83">
        <w:rPr>
          <w:rFonts w:cs="Arial"/>
          <w:sz w:val="18"/>
          <w:szCs w:val="18"/>
        </w:rPr>
        <w:t xml:space="preserve">OIG, “Opioids in Medicare Part D: Concerns about Extreme Use and Questionable Prescribing,” OEI-02-17-00250, July 2017. </w:t>
      </w:r>
      <w:hyperlink r:id="rId9" w:history="1">
        <w:r w:rsidRPr="00303C83">
          <w:rPr>
            <w:rStyle w:val="Hyperlink"/>
            <w:rFonts w:cs="Arial"/>
            <w:sz w:val="18"/>
            <w:szCs w:val="18"/>
          </w:rPr>
          <w:t>https://oig.hhs.gov/oei/reports/oei-02-17-00250.pdf</w:t>
        </w:r>
      </w:hyperlink>
    </w:p>
  </w:footnote>
  <w:footnote w:id="21">
    <w:p w14:paraId="1F0F7347" w14:textId="77777777" w:rsidR="00E21B0A" w:rsidRPr="00154575" w:rsidRDefault="00E21B0A" w:rsidP="00E21B0A">
      <w:pPr>
        <w:pStyle w:val="FootnoteText"/>
        <w:rPr>
          <w:rFonts w:cs="Arial"/>
          <w:color w:val="000000" w:themeColor="text1"/>
        </w:rPr>
      </w:pPr>
      <w:r w:rsidRPr="00154575">
        <w:rPr>
          <w:rStyle w:val="FootnoteReference"/>
          <w:rFonts w:cs="Arial"/>
          <w:color w:val="000000" w:themeColor="text1"/>
        </w:rPr>
        <w:footnoteRef/>
      </w:r>
      <w:r w:rsidRPr="00154575">
        <w:rPr>
          <w:rFonts w:cs="Arial"/>
          <w:color w:val="000000" w:themeColor="text1"/>
        </w:rPr>
        <w:t xml:space="preserve"> </w:t>
      </w:r>
      <w:r w:rsidRPr="00303C83">
        <w:rPr>
          <w:rFonts w:cs="Arial"/>
          <w:color w:val="000000" w:themeColor="text1"/>
          <w:sz w:val="18"/>
          <w:szCs w:val="18"/>
        </w:rPr>
        <w:t xml:space="preserve">Nabarun Dasgupta, Michele Jonsson Funk, Scott Proescholdbell, Annie Hirsch, Kurt M. Ribisl, Steve Marshall, Cohort Study of the Impact of High-Dose Opioid Analgesics on Overdose Mortality, </w:t>
      </w:r>
      <w:r w:rsidRPr="00303C83">
        <w:rPr>
          <w:rStyle w:val="Emphasis"/>
          <w:rFonts w:cs="Arial"/>
          <w:b w:val="0"/>
          <w:color w:val="000000" w:themeColor="text1"/>
          <w:sz w:val="18"/>
          <w:szCs w:val="18"/>
        </w:rPr>
        <w:t>Pain Medicine</w:t>
      </w:r>
      <w:r w:rsidRPr="00303C83">
        <w:rPr>
          <w:rFonts w:cs="Arial"/>
          <w:b/>
          <w:color w:val="000000" w:themeColor="text1"/>
          <w:sz w:val="18"/>
          <w:szCs w:val="18"/>
        </w:rPr>
        <w:t>,</w:t>
      </w:r>
      <w:r w:rsidRPr="00303C83">
        <w:rPr>
          <w:rFonts w:cs="Arial"/>
          <w:color w:val="000000" w:themeColor="text1"/>
          <w:sz w:val="18"/>
          <w:szCs w:val="18"/>
        </w:rPr>
        <w:t xml:space="preserve"> Volume 17, Issue 1, January 2016, Pages 85–98, https://doi.org/10.1111/pme.12907</w:t>
      </w:r>
    </w:p>
  </w:footnote>
  <w:footnote w:id="22">
    <w:p w14:paraId="2EC62277" w14:textId="77777777" w:rsidR="00E21B0A" w:rsidRPr="00154575" w:rsidRDefault="00E21B0A" w:rsidP="00E21B0A">
      <w:pPr>
        <w:pStyle w:val="FootnoteText"/>
        <w:rPr>
          <w:rFonts w:cs="Arial"/>
          <w:color w:val="000000" w:themeColor="text1"/>
        </w:rPr>
      </w:pPr>
      <w:r w:rsidRPr="00154575">
        <w:rPr>
          <w:rStyle w:val="FootnoteReference"/>
          <w:rFonts w:cs="Arial"/>
          <w:color w:val="000000" w:themeColor="text1"/>
        </w:rPr>
        <w:footnoteRef/>
      </w:r>
      <w:r w:rsidRPr="00154575">
        <w:rPr>
          <w:rFonts w:cs="Arial"/>
          <w:color w:val="000000" w:themeColor="text1"/>
        </w:rPr>
        <w:t xml:space="preserve"> </w:t>
      </w:r>
      <w:r w:rsidRPr="00303C83">
        <w:rPr>
          <w:rFonts w:eastAsia="Times New Roman" w:cs="Arial"/>
          <w:color w:val="000000" w:themeColor="text1"/>
          <w:sz w:val="18"/>
          <w:szCs w:val="18"/>
        </w:rPr>
        <w:t>Yu-Jung JennyWei, PhD, Cheng Chen, BSPharm, Amir Sarayani, PharmD, Almut G.Winterstein, PhD , “Performance of the Centers for Medicare &amp; Medicaid Services’ Opioid Overutilization Criteria for Classifying Opioid Use Disorder or Overdose” JAMA February 12, 2019 Volume 321, Number 6.</w:t>
      </w:r>
    </w:p>
  </w:footnote>
  <w:footnote w:id="23">
    <w:p w14:paraId="02250780" w14:textId="77777777" w:rsidR="00E21B0A" w:rsidRPr="00303C83" w:rsidRDefault="00E21B0A" w:rsidP="00E21B0A">
      <w:pPr>
        <w:rPr>
          <w:rFonts w:ascii="Times New Roman" w:hAnsi="Times New Roman"/>
          <w:sz w:val="20"/>
          <w:szCs w:val="20"/>
        </w:rPr>
      </w:pPr>
      <w:r w:rsidRPr="00154575">
        <w:rPr>
          <w:rStyle w:val="FootnoteReference"/>
          <w:rFonts w:cs="Arial"/>
          <w:color w:val="000000" w:themeColor="text1"/>
        </w:rPr>
        <w:footnoteRef/>
      </w:r>
      <w:r w:rsidRPr="00154575">
        <w:rPr>
          <w:rFonts w:cs="Arial"/>
          <w:color w:val="000000" w:themeColor="text1"/>
        </w:rPr>
        <w:t xml:space="preserve"> </w:t>
      </w:r>
      <w:r w:rsidRPr="00303C83">
        <w:rPr>
          <w:rFonts w:ascii="Arial" w:hAnsi="Arial" w:cs="Arial"/>
          <w:sz w:val="18"/>
          <w:szCs w:val="18"/>
        </w:rPr>
        <w:t>Oliva EM, Bowe T, Tavakoli S, Martins S, Lewis ET, Paik M, Wiechers I, Henderson P, Harvey M, Avoundjian T, Medhanie A, Trafton JA. Development and applications of the Veterans Health Administration's Stratification Tool for Opioid Risk Mitigation (STORM) to improve opioid safety and prevent overdose and suicide. Psychol Serv. 2017 Feb;14(1):34-49. doi: 10.1037/ser0000099.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72"/>
    <w:rsid w:val="00023CB3"/>
    <w:rsid w:val="00056EED"/>
    <w:rsid w:val="00086E83"/>
    <w:rsid w:val="000F3708"/>
    <w:rsid w:val="0010524F"/>
    <w:rsid w:val="00163E92"/>
    <w:rsid w:val="001C717C"/>
    <w:rsid w:val="00204D75"/>
    <w:rsid w:val="00215302"/>
    <w:rsid w:val="00234CBD"/>
    <w:rsid w:val="00244D9E"/>
    <w:rsid w:val="00245547"/>
    <w:rsid w:val="00264FCB"/>
    <w:rsid w:val="0027765C"/>
    <w:rsid w:val="002E2596"/>
    <w:rsid w:val="003A4004"/>
    <w:rsid w:val="004303C1"/>
    <w:rsid w:val="0046780C"/>
    <w:rsid w:val="00497580"/>
    <w:rsid w:val="004B2945"/>
    <w:rsid w:val="004B7DAE"/>
    <w:rsid w:val="00524797"/>
    <w:rsid w:val="005464C2"/>
    <w:rsid w:val="00572AAA"/>
    <w:rsid w:val="005756DA"/>
    <w:rsid w:val="00585463"/>
    <w:rsid w:val="00593625"/>
    <w:rsid w:val="0061426A"/>
    <w:rsid w:val="0064785D"/>
    <w:rsid w:val="00657842"/>
    <w:rsid w:val="00687D12"/>
    <w:rsid w:val="00693EED"/>
    <w:rsid w:val="0069409E"/>
    <w:rsid w:val="006A7AD9"/>
    <w:rsid w:val="00700DE2"/>
    <w:rsid w:val="00703517"/>
    <w:rsid w:val="00724E2F"/>
    <w:rsid w:val="00762AA8"/>
    <w:rsid w:val="00767DD8"/>
    <w:rsid w:val="007764E0"/>
    <w:rsid w:val="007E5A30"/>
    <w:rsid w:val="00843901"/>
    <w:rsid w:val="008868EF"/>
    <w:rsid w:val="009000E4"/>
    <w:rsid w:val="00985F70"/>
    <w:rsid w:val="009A1F8A"/>
    <w:rsid w:val="009F3FC3"/>
    <w:rsid w:val="009F614C"/>
    <w:rsid w:val="00AA0F24"/>
    <w:rsid w:val="00AD1ECB"/>
    <w:rsid w:val="00B057A5"/>
    <w:rsid w:val="00B168F6"/>
    <w:rsid w:val="00B174D0"/>
    <w:rsid w:val="00B328A1"/>
    <w:rsid w:val="00B618A4"/>
    <w:rsid w:val="00BA2E6D"/>
    <w:rsid w:val="00BC5DEE"/>
    <w:rsid w:val="00C13278"/>
    <w:rsid w:val="00CB0595"/>
    <w:rsid w:val="00CE5C20"/>
    <w:rsid w:val="00D22753"/>
    <w:rsid w:val="00D258A4"/>
    <w:rsid w:val="00D40AE4"/>
    <w:rsid w:val="00D52EF0"/>
    <w:rsid w:val="00D63E44"/>
    <w:rsid w:val="00DD592C"/>
    <w:rsid w:val="00E134F3"/>
    <w:rsid w:val="00E21B0A"/>
    <w:rsid w:val="00ED508F"/>
    <w:rsid w:val="00F26F72"/>
    <w:rsid w:val="00F92BAB"/>
    <w:rsid w:val="00FA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E80D"/>
  <w15:docId w15:val="{C4CB4CAA-3078-46BE-BC71-F6D4329B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17C"/>
    <w:rPr>
      <w:sz w:val="24"/>
      <w:szCs w:val="24"/>
    </w:rPr>
  </w:style>
  <w:style w:type="paragraph" w:styleId="Heading1">
    <w:name w:val="heading 1"/>
    <w:basedOn w:val="Normal"/>
    <w:next w:val="Normal"/>
    <w:link w:val="Heading1Char"/>
    <w:uiPriority w:val="9"/>
    <w:qFormat/>
    <w:rsid w:val="001C71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C71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C717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C717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C717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C717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C717C"/>
    <w:pPr>
      <w:spacing w:before="240" w:after="60"/>
      <w:outlineLvl w:val="6"/>
    </w:pPr>
  </w:style>
  <w:style w:type="paragraph" w:styleId="Heading8">
    <w:name w:val="heading 8"/>
    <w:basedOn w:val="Normal"/>
    <w:next w:val="Normal"/>
    <w:link w:val="Heading8Char"/>
    <w:uiPriority w:val="9"/>
    <w:semiHidden/>
    <w:unhideWhenUsed/>
    <w:qFormat/>
    <w:rsid w:val="001C717C"/>
    <w:pPr>
      <w:spacing w:before="240" w:after="60"/>
      <w:outlineLvl w:val="7"/>
    </w:pPr>
    <w:rPr>
      <w:i/>
      <w:iCs/>
    </w:rPr>
  </w:style>
  <w:style w:type="paragraph" w:styleId="Heading9">
    <w:name w:val="heading 9"/>
    <w:basedOn w:val="Normal"/>
    <w:next w:val="Normal"/>
    <w:link w:val="Heading9Char"/>
    <w:uiPriority w:val="9"/>
    <w:semiHidden/>
    <w:unhideWhenUsed/>
    <w:qFormat/>
    <w:rsid w:val="001C717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717C"/>
    <w:rPr>
      <w:rFonts w:ascii="Cambria" w:eastAsia="Times New Roman" w:hAnsi="Cambria"/>
      <w:b/>
      <w:bCs/>
      <w:kern w:val="32"/>
      <w:sz w:val="32"/>
      <w:szCs w:val="32"/>
    </w:rPr>
  </w:style>
  <w:style w:type="character" w:customStyle="1" w:styleId="Heading2Char">
    <w:name w:val="Heading 2 Char"/>
    <w:link w:val="Heading2"/>
    <w:uiPriority w:val="9"/>
    <w:semiHidden/>
    <w:rsid w:val="001C717C"/>
    <w:rPr>
      <w:rFonts w:ascii="Cambria" w:eastAsia="Times New Roman" w:hAnsi="Cambria"/>
      <w:b/>
      <w:bCs/>
      <w:i/>
      <w:iCs/>
      <w:sz w:val="28"/>
      <w:szCs w:val="28"/>
    </w:rPr>
  </w:style>
  <w:style w:type="character" w:customStyle="1" w:styleId="Heading3Char">
    <w:name w:val="Heading 3 Char"/>
    <w:link w:val="Heading3"/>
    <w:uiPriority w:val="9"/>
    <w:semiHidden/>
    <w:rsid w:val="001C717C"/>
    <w:rPr>
      <w:rFonts w:ascii="Cambria" w:eastAsia="Times New Roman" w:hAnsi="Cambria"/>
      <w:b/>
      <w:bCs/>
      <w:sz w:val="26"/>
      <w:szCs w:val="26"/>
    </w:rPr>
  </w:style>
  <w:style w:type="character" w:customStyle="1" w:styleId="Heading4Char">
    <w:name w:val="Heading 4 Char"/>
    <w:link w:val="Heading4"/>
    <w:uiPriority w:val="9"/>
    <w:semiHidden/>
    <w:rsid w:val="001C717C"/>
    <w:rPr>
      <w:b/>
      <w:bCs/>
      <w:sz w:val="28"/>
      <w:szCs w:val="28"/>
    </w:rPr>
  </w:style>
  <w:style w:type="character" w:customStyle="1" w:styleId="Heading5Char">
    <w:name w:val="Heading 5 Char"/>
    <w:link w:val="Heading5"/>
    <w:uiPriority w:val="9"/>
    <w:semiHidden/>
    <w:rsid w:val="001C717C"/>
    <w:rPr>
      <w:b/>
      <w:bCs/>
      <w:i/>
      <w:iCs/>
      <w:sz w:val="26"/>
      <w:szCs w:val="26"/>
    </w:rPr>
  </w:style>
  <w:style w:type="character" w:customStyle="1" w:styleId="Heading6Char">
    <w:name w:val="Heading 6 Char"/>
    <w:link w:val="Heading6"/>
    <w:uiPriority w:val="9"/>
    <w:semiHidden/>
    <w:rsid w:val="001C717C"/>
    <w:rPr>
      <w:b/>
      <w:bCs/>
    </w:rPr>
  </w:style>
  <w:style w:type="character" w:customStyle="1" w:styleId="Heading7Char">
    <w:name w:val="Heading 7 Char"/>
    <w:link w:val="Heading7"/>
    <w:uiPriority w:val="9"/>
    <w:semiHidden/>
    <w:rsid w:val="001C717C"/>
    <w:rPr>
      <w:sz w:val="24"/>
      <w:szCs w:val="24"/>
    </w:rPr>
  </w:style>
  <w:style w:type="character" w:customStyle="1" w:styleId="Heading8Char">
    <w:name w:val="Heading 8 Char"/>
    <w:link w:val="Heading8"/>
    <w:uiPriority w:val="9"/>
    <w:semiHidden/>
    <w:rsid w:val="001C717C"/>
    <w:rPr>
      <w:i/>
      <w:iCs/>
      <w:sz w:val="24"/>
      <w:szCs w:val="24"/>
    </w:rPr>
  </w:style>
  <w:style w:type="character" w:customStyle="1" w:styleId="Heading9Char">
    <w:name w:val="Heading 9 Char"/>
    <w:link w:val="Heading9"/>
    <w:uiPriority w:val="9"/>
    <w:semiHidden/>
    <w:rsid w:val="001C717C"/>
    <w:rPr>
      <w:rFonts w:ascii="Cambria" w:eastAsia="Times New Roman" w:hAnsi="Cambria"/>
    </w:rPr>
  </w:style>
  <w:style w:type="paragraph" w:styleId="Title">
    <w:name w:val="Title"/>
    <w:basedOn w:val="Normal"/>
    <w:next w:val="Normal"/>
    <w:link w:val="TitleChar"/>
    <w:uiPriority w:val="10"/>
    <w:qFormat/>
    <w:rsid w:val="001C717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C717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C717C"/>
    <w:pPr>
      <w:spacing w:after="60"/>
      <w:jc w:val="center"/>
      <w:outlineLvl w:val="1"/>
    </w:pPr>
    <w:rPr>
      <w:rFonts w:ascii="Cambria" w:hAnsi="Cambria"/>
    </w:rPr>
  </w:style>
  <w:style w:type="character" w:customStyle="1" w:styleId="SubtitleChar">
    <w:name w:val="Subtitle Char"/>
    <w:link w:val="Subtitle"/>
    <w:uiPriority w:val="11"/>
    <w:rsid w:val="001C717C"/>
    <w:rPr>
      <w:rFonts w:ascii="Cambria" w:eastAsia="Times New Roman" w:hAnsi="Cambria"/>
      <w:sz w:val="24"/>
      <w:szCs w:val="24"/>
    </w:rPr>
  </w:style>
  <w:style w:type="character" w:styleId="Strong">
    <w:name w:val="Strong"/>
    <w:uiPriority w:val="22"/>
    <w:qFormat/>
    <w:rsid w:val="001C717C"/>
    <w:rPr>
      <w:b/>
      <w:bCs/>
    </w:rPr>
  </w:style>
  <w:style w:type="character" w:styleId="Emphasis">
    <w:name w:val="Emphasis"/>
    <w:uiPriority w:val="20"/>
    <w:qFormat/>
    <w:rsid w:val="001C717C"/>
    <w:rPr>
      <w:rFonts w:ascii="Calibri" w:hAnsi="Calibri"/>
      <w:b/>
      <w:i/>
      <w:iCs/>
    </w:rPr>
  </w:style>
  <w:style w:type="paragraph" w:styleId="NoSpacing">
    <w:name w:val="No Spacing"/>
    <w:basedOn w:val="Normal"/>
    <w:link w:val="NoSpacingChar"/>
    <w:uiPriority w:val="1"/>
    <w:qFormat/>
    <w:rsid w:val="001C717C"/>
    <w:rPr>
      <w:szCs w:val="32"/>
    </w:rPr>
  </w:style>
  <w:style w:type="paragraph" w:styleId="ListParagraph">
    <w:name w:val="List Paragraph"/>
    <w:basedOn w:val="Normal"/>
    <w:uiPriority w:val="34"/>
    <w:qFormat/>
    <w:rsid w:val="001C717C"/>
    <w:pPr>
      <w:ind w:left="720"/>
      <w:contextualSpacing/>
    </w:pPr>
  </w:style>
  <w:style w:type="paragraph" w:styleId="Quote">
    <w:name w:val="Quote"/>
    <w:basedOn w:val="Normal"/>
    <w:next w:val="Normal"/>
    <w:link w:val="QuoteChar"/>
    <w:uiPriority w:val="29"/>
    <w:qFormat/>
    <w:rsid w:val="001C717C"/>
    <w:rPr>
      <w:i/>
    </w:rPr>
  </w:style>
  <w:style w:type="character" w:customStyle="1" w:styleId="QuoteChar">
    <w:name w:val="Quote Char"/>
    <w:link w:val="Quote"/>
    <w:uiPriority w:val="29"/>
    <w:rsid w:val="001C717C"/>
    <w:rPr>
      <w:i/>
      <w:sz w:val="24"/>
      <w:szCs w:val="24"/>
    </w:rPr>
  </w:style>
  <w:style w:type="paragraph" w:styleId="IntenseQuote">
    <w:name w:val="Intense Quote"/>
    <w:basedOn w:val="Normal"/>
    <w:next w:val="Normal"/>
    <w:link w:val="IntenseQuoteChar"/>
    <w:uiPriority w:val="30"/>
    <w:qFormat/>
    <w:rsid w:val="001C717C"/>
    <w:pPr>
      <w:ind w:left="720" w:right="720"/>
    </w:pPr>
    <w:rPr>
      <w:b/>
      <w:i/>
      <w:szCs w:val="22"/>
    </w:rPr>
  </w:style>
  <w:style w:type="character" w:customStyle="1" w:styleId="IntenseQuoteChar">
    <w:name w:val="Intense Quote Char"/>
    <w:link w:val="IntenseQuote"/>
    <w:uiPriority w:val="30"/>
    <w:rsid w:val="001C717C"/>
    <w:rPr>
      <w:b/>
      <w:i/>
      <w:sz w:val="24"/>
    </w:rPr>
  </w:style>
  <w:style w:type="character" w:styleId="SubtleEmphasis">
    <w:name w:val="Subtle Emphasis"/>
    <w:uiPriority w:val="19"/>
    <w:qFormat/>
    <w:rsid w:val="001C717C"/>
    <w:rPr>
      <w:i/>
      <w:color w:val="5A5A5A"/>
    </w:rPr>
  </w:style>
  <w:style w:type="character" w:styleId="IntenseEmphasis">
    <w:name w:val="Intense Emphasis"/>
    <w:uiPriority w:val="21"/>
    <w:qFormat/>
    <w:rsid w:val="001C717C"/>
    <w:rPr>
      <w:b/>
      <w:i/>
      <w:sz w:val="24"/>
      <w:szCs w:val="24"/>
      <w:u w:val="single"/>
    </w:rPr>
  </w:style>
  <w:style w:type="character" w:styleId="SubtleReference">
    <w:name w:val="Subtle Reference"/>
    <w:uiPriority w:val="31"/>
    <w:qFormat/>
    <w:rsid w:val="001C717C"/>
    <w:rPr>
      <w:sz w:val="24"/>
      <w:szCs w:val="24"/>
      <w:u w:val="single"/>
    </w:rPr>
  </w:style>
  <w:style w:type="character" w:styleId="IntenseReference">
    <w:name w:val="Intense Reference"/>
    <w:uiPriority w:val="32"/>
    <w:qFormat/>
    <w:rsid w:val="001C717C"/>
    <w:rPr>
      <w:b/>
      <w:sz w:val="24"/>
      <w:u w:val="single"/>
    </w:rPr>
  </w:style>
  <w:style w:type="character" w:styleId="BookTitle">
    <w:name w:val="Book Title"/>
    <w:uiPriority w:val="33"/>
    <w:qFormat/>
    <w:rsid w:val="001C717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C717C"/>
    <w:pPr>
      <w:outlineLvl w:val="9"/>
    </w:pPr>
  </w:style>
  <w:style w:type="paragraph" w:styleId="BalloonText">
    <w:name w:val="Balloon Text"/>
    <w:basedOn w:val="Normal"/>
    <w:link w:val="BalloonTextChar"/>
    <w:uiPriority w:val="99"/>
    <w:semiHidden/>
    <w:unhideWhenUsed/>
    <w:rsid w:val="00F26F72"/>
    <w:rPr>
      <w:rFonts w:ascii="Tahoma" w:hAnsi="Tahoma" w:cs="Tahoma"/>
      <w:sz w:val="16"/>
      <w:szCs w:val="16"/>
    </w:rPr>
  </w:style>
  <w:style w:type="character" w:customStyle="1" w:styleId="BalloonTextChar">
    <w:name w:val="Balloon Text Char"/>
    <w:link w:val="BalloonText"/>
    <w:uiPriority w:val="99"/>
    <w:semiHidden/>
    <w:rsid w:val="00F26F72"/>
    <w:rPr>
      <w:rFonts w:ascii="Tahoma" w:hAnsi="Tahoma" w:cs="Tahoma"/>
      <w:sz w:val="16"/>
      <w:szCs w:val="16"/>
    </w:rPr>
  </w:style>
  <w:style w:type="character" w:customStyle="1" w:styleId="NoSpacingChar">
    <w:name w:val="No Spacing Char"/>
    <w:link w:val="NoSpacing"/>
    <w:uiPriority w:val="1"/>
    <w:rsid w:val="00F26F72"/>
    <w:rPr>
      <w:sz w:val="24"/>
      <w:szCs w:val="32"/>
    </w:rPr>
  </w:style>
  <w:style w:type="paragraph" w:styleId="NormalWeb">
    <w:name w:val="Normal (Web)"/>
    <w:basedOn w:val="Normal"/>
    <w:uiPriority w:val="99"/>
    <w:unhideWhenUsed/>
    <w:rsid w:val="00E21B0A"/>
    <w:pPr>
      <w:spacing w:before="100" w:beforeAutospacing="1" w:after="100" w:afterAutospacing="1"/>
    </w:pPr>
    <w:rPr>
      <w:rFonts w:ascii="Times" w:hAnsi="Times"/>
      <w:sz w:val="20"/>
      <w:szCs w:val="20"/>
    </w:rPr>
  </w:style>
  <w:style w:type="character" w:styleId="FootnoteReference">
    <w:name w:val="footnote reference"/>
    <w:basedOn w:val="DefaultParagraphFont"/>
    <w:uiPriority w:val="99"/>
    <w:unhideWhenUsed/>
    <w:rsid w:val="00E21B0A"/>
    <w:rPr>
      <w:vertAlign w:val="superscript"/>
    </w:rPr>
  </w:style>
  <w:style w:type="paragraph" w:styleId="FootnoteText">
    <w:name w:val="footnote text"/>
    <w:basedOn w:val="Normal"/>
    <w:link w:val="FootnoteTextChar"/>
    <w:uiPriority w:val="99"/>
    <w:unhideWhenUsed/>
    <w:rsid w:val="00E21B0A"/>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E21B0A"/>
    <w:rPr>
      <w:rFonts w:ascii="Arial" w:eastAsiaTheme="minorHAnsi" w:hAnsi="Arial" w:cstheme="minorBidi"/>
    </w:rPr>
  </w:style>
  <w:style w:type="character" w:customStyle="1" w:styleId="authors">
    <w:name w:val="authors"/>
    <w:basedOn w:val="DefaultParagraphFont"/>
    <w:rsid w:val="00E21B0A"/>
  </w:style>
  <w:style w:type="character" w:customStyle="1" w:styleId="date1">
    <w:name w:val="date1"/>
    <w:basedOn w:val="DefaultParagraphFont"/>
    <w:rsid w:val="00E21B0A"/>
  </w:style>
  <w:style w:type="character" w:customStyle="1" w:styleId="arttitle">
    <w:name w:val="art_title"/>
    <w:basedOn w:val="DefaultParagraphFont"/>
    <w:rsid w:val="00E21B0A"/>
  </w:style>
  <w:style w:type="character" w:customStyle="1" w:styleId="serialtitle">
    <w:name w:val="serial_title"/>
    <w:basedOn w:val="DefaultParagraphFont"/>
    <w:rsid w:val="00E21B0A"/>
  </w:style>
  <w:style w:type="character" w:customStyle="1" w:styleId="doilink">
    <w:name w:val="doi_link"/>
    <w:basedOn w:val="DefaultParagraphFont"/>
    <w:rsid w:val="00E21B0A"/>
  </w:style>
  <w:style w:type="character" w:styleId="Hyperlink">
    <w:name w:val="Hyperlink"/>
    <w:uiPriority w:val="99"/>
    <w:unhideWhenUsed/>
    <w:rsid w:val="00E21B0A"/>
    <w:rPr>
      <w:color w:val="0000FF"/>
      <w:u w:val="single"/>
    </w:rPr>
  </w:style>
  <w:style w:type="character" w:customStyle="1" w:styleId="highwire-cite-authors">
    <w:name w:val="highwire-cite-authors"/>
    <w:basedOn w:val="DefaultParagraphFont"/>
    <w:rsid w:val="00E21B0A"/>
  </w:style>
  <w:style w:type="character" w:customStyle="1" w:styleId="nlm-surname">
    <w:name w:val="nlm-surname"/>
    <w:basedOn w:val="DefaultParagraphFont"/>
    <w:rsid w:val="00E21B0A"/>
  </w:style>
  <w:style w:type="character" w:customStyle="1" w:styleId="nlm-given-names">
    <w:name w:val="nlm-given-names"/>
    <w:basedOn w:val="DefaultParagraphFont"/>
    <w:rsid w:val="00E21B0A"/>
  </w:style>
  <w:style w:type="character" w:customStyle="1" w:styleId="highwire-cite-title">
    <w:name w:val="highwire-cite-title"/>
    <w:basedOn w:val="DefaultParagraphFont"/>
    <w:rsid w:val="00E21B0A"/>
  </w:style>
  <w:style w:type="character" w:customStyle="1" w:styleId="highwire-cite-metadata-journal">
    <w:name w:val="highwire-cite-metadata-journal"/>
    <w:basedOn w:val="DefaultParagraphFont"/>
    <w:rsid w:val="00E21B0A"/>
  </w:style>
  <w:style w:type="character" w:customStyle="1" w:styleId="highwire-cite-metadata-date">
    <w:name w:val="highwire-cite-metadata-date"/>
    <w:basedOn w:val="DefaultParagraphFont"/>
    <w:rsid w:val="00E21B0A"/>
  </w:style>
  <w:style w:type="character" w:customStyle="1" w:styleId="highwire-cite-metadata-volume">
    <w:name w:val="highwire-cite-metadata-volume"/>
    <w:basedOn w:val="DefaultParagraphFont"/>
    <w:rsid w:val="00E21B0A"/>
  </w:style>
  <w:style w:type="character" w:customStyle="1" w:styleId="highwire-cite-doi">
    <w:name w:val="highwire-cite-doi"/>
    <w:basedOn w:val="DefaultParagraphFont"/>
    <w:rsid w:val="00E21B0A"/>
  </w:style>
  <w:style w:type="character" w:customStyle="1" w:styleId="cit">
    <w:name w:val="cit"/>
    <w:basedOn w:val="DefaultParagraphFont"/>
    <w:rsid w:val="00E21B0A"/>
  </w:style>
  <w:style w:type="character" w:styleId="CommentReference">
    <w:name w:val="annotation reference"/>
    <w:basedOn w:val="DefaultParagraphFont"/>
    <w:uiPriority w:val="99"/>
    <w:semiHidden/>
    <w:unhideWhenUsed/>
    <w:rsid w:val="00E21B0A"/>
    <w:rPr>
      <w:sz w:val="16"/>
      <w:szCs w:val="16"/>
    </w:rPr>
  </w:style>
  <w:style w:type="paragraph" w:styleId="CommentText">
    <w:name w:val="annotation text"/>
    <w:basedOn w:val="Normal"/>
    <w:link w:val="CommentTextChar"/>
    <w:uiPriority w:val="99"/>
    <w:semiHidden/>
    <w:unhideWhenUsed/>
    <w:rsid w:val="00E21B0A"/>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21B0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649">
      <w:bodyDiv w:val="1"/>
      <w:marLeft w:val="0"/>
      <w:marRight w:val="0"/>
      <w:marTop w:val="0"/>
      <w:marBottom w:val="0"/>
      <w:divBdr>
        <w:top w:val="none" w:sz="0" w:space="0" w:color="auto"/>
        <w:left w:val="none" w:sz="0" w:space="0" w:color="auto"/>
        <w:bottom w:val="none" w:sz="0" w:space="0" w:color="auto"/>
        <w:right w:val="none" w:sz="0" w:space="0" w:color="auto"/>
      </w:divBdr>
    </w:div>
    <w:div w:id="411392502">
      <w:bodyDiv w:val="1"/>
      <w:marLeft w:val="0"/>
      <w:marRight w:val="0"/>
      <w:marTop w:val="0"/>
      <w:marBottom w:val="0"/>
      <w:divBdr>
        <w:top w:val="none" w:sz="0" w:space="0" w:color="auto"/>
        <w:left w:val="none" w:sz="0" w:space="0" w:color="auto"/>
        <w:bottom w:val="none" w:sz="0" w:space="0" w:color="auto"/>
        <w:right w:val="none" w:sz="0" w:space="0" w:color="auto"/>
      </w:divBdr>
    </w:div>
    <w:div w:id="648707868">
      <w:bodyDiv w:val="1"/>
      <w:marLeft w:val="0"/>
      <w:marRight w:val="0"/>
      <w:marTop w:val="0"/>
      <w:marBottom w:val="0"/>
      <w:divBdr>
        <w:top w:val="none" w:sz="0" w:space="0" w:color="auto"/>
        <w:left w:val="none" w:sz="0" w:space="0" w:color="auto"/>
        <w:bottom w:val="none" w:sz="0" w:space="0" w:color="auto"/>
        <w:right w:val="none" w:sz="0" w:space="0" w:color="auto"/>
      </w:divBdr>
    </w:div>
    <w:div w:id="889079124">
      <w:bodyDiv w:val="1"/>
      <w:marLeft w:val="0"/>
      <w:marRight w:val="0"/>
      <w:marTop w:val="0"/>
      <w:marBottom w:val="0"/>
      <w:divBdr>
        <w:top w:val="none" w:sz="0" w:space="0" w:color="auto"/>
        <w:left w:val="none" w:sz="0" w:space="0" w:color="auto"/>
        <w:bottom w:val="none" w:sz="0" w:space="0" w:color="auto"/>
        <w:right w:val="none" w:sz="0" w:space="0" w:color="auto"/>
      </w:divBdr>
    </w:div>
    <w:div w:id="1034622238">
      <w:bodyDiv w:val="1"/>
      <w:marLeft w:val="0"/>
      <w:marRight w:val="0"/>
      <w:marTop w:val="0"/>
      <w:marBottom w:val="0"/>
      <w:divBdr>
        <w:top w:val="none" w:sz="0" w:space="0" w:color="auto"/>
        <w:left w:val="none" w:sz="0" w:space="0" w:color="auto"/>
        <w:bottom w:val="none" w:sz="0" w:space="0" w:color="auto"/>
        <w:right w:val="none" w:sz="0" w:space="0" w:color="auto"/>
      </w:divBdr>
    </w:div>
    <w:div w:id="1151285399">
      <w:bodyDiv w:val="1"/>
      <w:marLeft w:val="0"/>
      <w:marRight w:val="0"/>
      <w:marTop w:val="0"/>
      <w:marBottom w:val="0"/>
      <w:divBdr>
        <w:top w:val="none" w:sz="0" w:space="0" w:color="auto"/>
        <w:left w:val="none" w:sz="0" w:space="0" w:color="auto"/>
        <w:bottom w:val="none" w:sz="0" w:space="0" w:color="auto"/>
        <w:right w:val="none" w:sz="0" w:space="0" w:color="auto"/>
      </w:divBdr>
    </w:div>
    <w:div w:id="1164783962">
      <w:bodyDiv w:val="1"/>
      <w:marLeft w:val="0"/>
      <w:marRight w:val="0"/>
      <w:marTop w:val="0"/>
      <w:marBottom w:val="0"/>
      <w:divBdr>
        <w:top w:val="none" w:sz="0" w:space="0" w:color="auto"/>
        <w:left w:val="none" w:sz="0" w:space="0" w:color="auto"/>
        <w:bottom w:val="none" w:sz="0" w:space="0" w:color="auto"/>
        <w:right w:val="none" w:sz="0" w:space="0" w:color="auto"/>
      </w:divBdr>
    </w:div>
    <w:div w:id="1274749763">
      <w:bodyDiv w:val="1"/>
      <w:marLeft w:val="0"/>
      <w:marRight w:val="0"/>
      <w:marTop w:val="0"/>
      <w:marBottom w:val="0"/>
      <w:divBdr>
        <w:top w:val="none" w:sz="0" w:space="0" w:color="auto"/>
        <w:left w:val="none" w:sz="0" w:space="0" w:color="auto"/>
        <w:bottom w:val="none" w:sz="0" w:space="0" w:color="auto"/>
        <w:right w:val="none" w:sz="0" w:space="0" w:color="auto"/>
      </w:divBdr>
    </w:div>
    <w:div w:id="17951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07/s11606-020-06402-z" TargetMode="External"/><Relationship Id="rId3" Type="http://schemas.openxmlformats.org/officeDocument/2006/relationships/hyperlink" Target="https://doi.org/10.1007/s11606-019-05301-2" TargetMode="External"/><Relationship Id="rId7" Type="http://schemas.openxmlformats.org/officeDocument/2006/relationships/hyperlink" Target="https://doi.org/10.1001/jamanetworkopen.2019.16271" TargetMode="External"/><Relationship Id="rId2" Type="http://schemas.openxmlformats.org/officeDocument/2006/relationships/hyperlink" Target="https://doi.org/10.1136/bmj.m283" TargetMode="External"/><Relationship Id="rId1" Type="http://schemas.openxmlformats.org/officeDocument/2006/relationships/hyperlink" Target="https://doi.org/10.1016/j.jsat.2019.05.001" TargetMode="External"/><Relationship Id="rId6" Type="http://schemas.openxmlformats.org/officeDocument/2006/relationships/hyperlink" Target="file:///C:\doi\10.1016:j.genhosppsych.2017.04.011" TargetMode="External"/><Relationship Id="rId5" Type="http://schemas.openxmlformats.org/officeDocument/2006/relationships/hyperlink" Target="https://doi.org/10.1007/s11606-019-05227-9" TargetMode="External"/><Relationship Id="rId4" Type="http://schemas.openxmlformats.org/officeDocument/2006/relationships/hyperlink" Target="file:///C:\doi\10.1001:jamanetworkopen.2019.2613" TargetMode="External"/><Relationship Id="rId9" Type="http://schemas.openxmlformats.org/officeDocument/2006/relationships/hyperlink" Target="https://oig.hhs.gov/oei/reports/oei-02-17-002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 Canter</cp:lastModifiedBy>
  <cp:revision>2</cp:revision>
  <cp:lastPrinted>2021-08-09T18:10:00Z</cp:lastPrinted>
  <dcterms:created xsi:type="dcterms:W3CDTF">2022-05-06T16:49:00Z</dcterms:created>
  <dcterms:modified xsi:type="dcterms:W3CDTF">2022-05-06T16:49:00Z</dcterms:modified>
</cp:coreProperties>
</file>