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63" w:rsidRDefault="00BA5163" w:rsidP="00BA5163">
      <w:pPr>
        <w:jc w:val="center"/>
      </w:pPr>
    </w:p>
    <w:p w:rsidR="00BA5163" w:rsidRDefault="00BA5163" w:rsidP="00BA5163">
      <w:pPr>
        <w:jc w:val="center"/>
      </w:pPr>
    </w:p>
    <w:p w:rsidR="00BA5163" w:rsidRDefault="00BA5163" w:rsidP="00BA5163">
      <w:pPr>
        <w:jc w:val="center"/>
      </w:pPr>
    </w:p>
    <w:p w:rsidR="00BA5163" w:rsidRDefault="00BA5163" w:rsidP="00BA5163">
      <w:pPr>
        <w:jc w:val="center"/>
      </w:pPr>
    </w:p>
    <w:p w:rsidR="00BA5163" w:rsidRDefault="00BA5163" w:rsidP="00BA5163">
      <w:pPr>
        <w:jc w:val="center"/>
      </w:pPr>
    </w:p>
    <w:p w:rsidR="00BA5163" w:rsidRDefault="00BA5163" w:rsidP="00BA5163">
      <w:pPr>
        <w:jc w:val="center"/>
      </w:pPr>
    </w:p>
    <w:p w:rsidR="00BA5163" w:rsidRDefault="00BA5163" w:rsidP="00BA5163">
      <w:pPr>
        <w:jc w:val="center"/>
        <w:rPr>
          <w:noProof/>
        </w:rPr>
      </w:pPr>
    </w:p>
    <w:p w:rsidR="00BA5163" w:rsidRDefault="00BA5163" w:rsidP="00BA5163">
      <w:pPr>
        <w:jc w:val="center"/>
      </w:pPr>
      <w:r>
        <w:rPr>
          <w:noProof/>
        </w:rPr>
        <w:drawing>
          <wp:inline distT="0" distB="0" distL="0" distR="0" wp14:anchorId="25BD40D1" wp14:editId="686C5C1A">
            <wp:extent cx="3530278" cy="2743200"/>
            <wp:effectExtent l="0" t="0" r="0" b="0"/>
            <wp:docPr id="2" name="Picture 2" descr="NCIL Logo: National Council on Independent Li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IL Logo1.jpg"/>
                    <pic:cNvPicPr/>
                  </pic:nvPicPr>
                  <pic:blipFill rotWithShape="1">
                    <a:blip r:embed="rId8" cstate="print">
                      <a:extLst>
                        <a:ext uri="{28A0092B-C50C-407E-A947-70E740481C1C}">
                          <a14:useLocalDpi xmlns:a14="http://schemas.microsoft.com/office/drawing/2010/main" val="0"/>
                        </a:ext>
                      </a:extLst>
                    </a:blip>
                    <a:srcRect l="7821" t="5381" r="13974" b="12339"/>
                    <a:stretch/>
                  </pic:blipFill>
                  <pic:spPr bwMode="auto">
                    <a:xfrm>
                      <a:off x="0" y="0"/>
                      <a:ext cx="3530278" cy="2743200"/>
                    </a:xfrm>
                    <a:prstGeom prst="rect">
                      <a:avLst/>
                    </a:prstGeom>
                    <a:ln>
                      <a:noFill/>
                    </a:ln>
                    <a:extLst>
                      <a:ext uri="{53640926-AAD7-44D8-BBD7-CCE9431645EC}">
                        <a14:shadowObscured xmlns:a14="http://schemas.microsoft.com/office/drawing/2010/main"/>
                      </a:ext>
                    </a:extLst>
                  </pic:spPr>
                </pic:pic>
              </a:graphicData>
            </a:graphic>
          </wp:inline>
        </w:drawing>
      </w:r>
    </w:p>
    <w:p w:rsidR="00BA5163" w:rsidRDefault="00BA5163" w:rsidP="00BA5163">
      <w:pPr>
        <w:jc w:val="center"/>
      </w:pPr>
    </w:p>
    <w:p w:rsidR="00BA5163" w:rsidRDefault="00BA5163" w:rsidP="00BA5163">
      <w:pPr>
        <w:jc w:val="center"/>
        <w:rPr>
          <w:sz w:val="32"/>
          <w:szCs w:val="32"/>
        </w:rPr>
      </w:pPr>
    </w:p>
    <w:p w:rsidR="00BA5163" w:rsidRPr="00C3278B" w:rsidRDefault="00BA5163" w:rsidP="00BA5163">
      <w:pPr>
        <w:jc w:val="center"/>
        <w:rPr>
          <w:sz w:val="32"/>
          <w:szCs w:val="32"/>
        </w:rPr>
      </w:pPr>
      <w:r w:rsidRPr="00C3278B">
        <w:rPr>
          <w:sz w:val="32"/>
          <w:szCs w:val="32"/>
        </w:rPr>
        <w:t xml:space="preserve">National Council on Independent Living </w:t>
      </w:r>
    </w:p>
    <w:p w:rsidR="00BA5163" w:rsidRDefault="00BA5163" w:rsidP="00BA5163"/>
    <w:p w:rsidR="00BA5163" w:rsidRDefault="00BA5163" w:rsidP="00BA5163">
      <w:pPr>
        <w:pStyle w:val="Title"/>
        <w:jc w:val="center"/>
      </w:pPr>
      <w:r>
        <w:t>Advocacy and Legislative Agenda</w:t>
      </w:r>
    </w:p>
    <w:p w:rsidR="00BA5163" w:rsidRDefault="00BA5163" w:rsidP="00BA5163">
      <w:pPr>
        <w:jc w:val="center"/>
      </w:pPr>
    </w:p>
    <w:p w:rsidR="00BB4A96" w:rsidRDefault="00BB4A96" w:rsidP="00BA5163">
      <w:pPr>
        <w:jc w:val="center"/>
      </w:pPr>
    </w:p>
    <w:p w:rsidR="00BA5163" w:rsidRPr="00C3278B" w:rsidRDefault="00BD5A62" w:rsidP="00BA5163">
      <w:r>
        <w:t>NCIL’s m</w:t>
      </w:r>
      <w:r w:rsidR="00BA5163">
        <w:t>ission</w:t>
      </w:r>
      <w:r>
        <w:t xml:space="preserve"> is to advance</w:t>
      </w:r>
      <w:r w:rsidR="00BA5163" w:rsidRPr="00C3278B">
        <w:t xml:space="preserve"> the disability-led Independent Living Movement to expand the capacity of Independent Living Programs to enhance the human and civil rights of all people with disabilities.</w:t>
      </w:r>
    </w:p>
    <w:p w:rsidR="00BA5163" w:rsidRDefault="00BA5163" w:rsidP="00BA5163"/>
    <w:p w:rsidR="00BA5163" w:rsidRDefault="00BA5163" w:rsidP="00BA5163">
      <w:r w:rsidRPr="00BA5163">
        <w:br w:type="page"/>
      </w:r>
    </w:p>
    <w:p w:rsidR="00BD5A62" w:rsidRDefault="00BD5A62">
      <w:pPr>
        <w:pStyle w:val="TOC1"/>
        <w:tabs>
          <w:tab w:val="right" w:leader="dot" w:pos="10790"/>
        </w:tabs>
      </w:pPr>
    </w:p>
    <w:p w:rsidR="00BD5A62" w:rsidRDefault="00BD5A62">
      <w:pPr>
        <w:pStyle w:val="TOC1"/>
        <w:tabs>
          <w:tab w:val="right" w:leader="dot" w:pos="10790"/>
        </w:tabs>
      </w:pPr>
    </w:p>
    <w:p w:rsidR="00BD5A62" w:rsidRDefault="00BD5A62">
      <w:pPr>
        <w:pStyle w:val="TOC1"/>
        <w:tabs>
          <w:tab w:val="right" w:leader="dot" w:pos="10790"/>
        </w:tabs>
      </w:pPr>
    </w:p>
    <w:p w:rsidR="00BD5A62" w:rsidRDefault="00BD5A62">
      <w:pPr>
        <w:pStyle w:val="TOC1"/>
        <w:tabs>
          <w:tab w:val="right" w:leader="dot" w:pos="10790"/>
        </w:tabs>
      </w:pPr>
    </w:p>
    <w:p w:rsidR="00BD5A62" w:rsidRDefault="00BD5A62">
      <w:pPr>
        <w:pStyle w:val="TOC1"/>
        <w:tabs>
          <w:tab w:val="right" w:leader="dot" w:pos="10790"/>
        </w:tabs>
      </w:pPr>
    </w:p>
    <w:p w:rsidR="003B2305" w:rsidRDefault="005D7633">
      <w:pPr>
        <w:pStyle w:val="TOC1"/>
        <w:tabs>
          <w:tab w:val="right" w:leader="dot" w:pos="10790"/>
        </w:tabs>
        <w:rPr>
          <w:rFonts w:asciiTheme="minorHAnsi" w:eastAsiaTheme="minorEastAsia" w:hAnsiTheme="minorHAnsi"/>
          <w:noProof/>
          <w:kern w:val="0"/>
          <w:sz w:val="22"/>
          <w:szCs w:val="22"/>
          <w14:ligatures w14:val="none"/>
        </w:rPr>
      </w:pPr>
      <w:r>
        <w:fldChar w:fldCharType="begin"/>
      </w:r>
      <w:r>
        <w:instrText xml:space="preserve"> TOC \o "1-2" \h \z \u </w:instrText>
      </w:r>
      <w:r>
        <w:fldChar w:fldCharType="separate"/>
      </w:r>
      <w:hyperlink w:anchor="_Toc138791492" w:history="1">
        <w:r w:rsidR="003B2305" w:rsidRPr="00BC4D8D">
          <w:rPr>
            <w:rStyle w:val="Hyperlink"/>
            <w:noProof/>
          </w:rPr>
          <w:t>Priority 1: Fund Centers for Independent Living</w:t>
        </w:r>
        <w:r w:rsidR="003B2305">
          <w:rPr>
            <w:noProof/>
            <w:webHidden/>
          </w:rPr>
          <w:tab/>
        </w:r>
        <w:r w:rsidR="003B2305">
          <w:rPr>
            <w:noProof/>
            <w:webHidden/>
          </w:rPr>
          <w:fldChar w:fldCharType="begin"/>
        </w:r>
        <w:r w:rsidR="003B2305">
          <w:rPr>
            <w:noProof/>
            <w:webHidden/>
          </w:rPr>
          <w:instrText xml:space="preserve"> PAGEREF _Toc138791492 \h </w:instrText>
        </w:r>
        <w:r w:rsidR="003B2305">
          <w:rPr>
            <w:noProof/>
            <w:webHidden/>
          </w:rPr>
        </w:r>
        <w:r w:rsidR="003B2305">
          <w:rPr>
            <w:noProof/>
            <w:webHidden/>
          </w:rPr>
          <w:fldChar w:fldCharType="separate"/>
        </w:r>
        <w:r w:rsidR="001B571B">
          <w:rPr>
            <w:noProof/>
            <w:webHidden/>
          </w:rPr>
          <w:t>3</w:t>
        </w:r>
        <w:r w:rsidR="003B2305">
          <w:rPr>
            <w:noProof/>
            <w:webHidden/>
          </w:rPr>
          <w:fldChar w:fldCharType="end"/>
        </w:r>
      </w:hyperlink>
    </w:p>
    <w:p w:rsidR="003B2305" w:rsidRDefault="0060787B">
      <w:pPr>
        <w:pStyle w:val="TOC1"/>
        <w:tabs>
          <w:tab w:val="right" w:leader="dot" w:pos="10790"/>
        </w:tabs>
        <w:rPr>
          <w:rFonts w:asciiTheme="minorHAnsi" w:eastAsiaTheme="minorEastAsia" w:hAnsiTheme="minorHAnsi"/>
          <w:noProof/>
          <w:kern w:val="0"/>
          <w:sz w:val="22"/>
          <w:szCs w:val="22"/>
          <w14:ligatures w14:val="none"/>
        </w:rPr>
      </w:pPr>
      <w:hyperlink w:anchor="_Toc138791493" w:history="1">
        <w:r w:rsidR="003B2305" w:rsidRPr="00BC4D8D">
          <w:rPr>
            <w:rStyle w:val="Hyperlink"/>
            <w:noProof/>
          </w:rPr>
          <w:t>Priority 2: End the Institutional Bias</w:t>
        </w:r>
        <w:r w:rsidR="003B2305">
          <w:rPr>
            <w:noProof/>
            <w:webHidden/>
          </w:rPr>
          <w:tab/>
        </w:r>
        <w:r w:rsidR="003B2305">
          <w:rPr>
            <w:noProof/>
            <w:webHidden/>
          </w:rPr>
          <w:fldChar w:fldCharType="begin"/>
        </w:r>
        <w:r w:rsidR="003B2305">
          <w:rPr>
            <w:noProof/>
            <w:webHidden/>
          </w:rPr>
          <w:instrText xml:space="preserve"> PAGEREF _Toc138791493 \h </w:instrText>
        </w:r>
        <w:r w:rsidR="003B2305">
          <w:rPr>
            <w:noProof/>
            <w:webHidden/>
          </w:rPr>
        </w:r>
        <w:r w:rsidR="003B2305">
          <w:rPr>
            <w:noProof/>
            <w:webHidden/>
          </w:rPr>
          <w:fldChar w:fldCharType="separate"/>
        </w:r>
        <w:r w:rsidR="001B571B">
          <w:rPr>
            <w:noProof/>
            <w:webHidden/>
          </w:rPr>
          <w:t>7</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494" w:history="1">
        <w:r w:rsidR="003B2305" w:rsidRPr="00BC4D8D">
          <w:rPr>
            <w:rStyle w:val="Hyperlink"/>
            <w:noProof/>
          </w:rPr>
          <w:t>Pass the HCBS Access Act and Better Care Better Jobs Act</w:t>
        </w:r>
        <w:r w:rsidR="003B2305">
          <w:rPr>
            <w:noProof/>
            <w:webHidden/>
          </w:rPr>
          <w:tab/>
        </w:r>
        <w:r w:rsidR="003B2305">
          <w:rPr>
            <w:noProof/>
            <w:webHidden/>
          </w:rPr>
          <w:fldChar w:fldCharType="begin"/>
        </w:r>
        <w:r w:rsidR="003B2305">
          <w:rPr>
            <w:noProof/>
            <w:webHidden/>
          </w:rPr>
          <w:instrText xml:space="preserve"> PAGEREF _Toc138791494 \h </w:instrText>
        </w:r>
        <w:r w:rsidR="003B2305">
          <w:rPr>
            <w:noProof/>
            <w:webHidden/>
          </w:rPr>
        </w:r>
        <w:r w:rsidR="003B2305">
          <w:rPr>
            <w:noProof/>
            <w:webHidden/>
          </w:rPr>
          <w:fldChar w:fldCharType="separate"/>
        </w:r>
        <w:r w:rsidR="001B571B">
          <w:rPr>
            <w:noProof/>
            <w:webHidden/>
          </w:rPr>
          <w:t>7</w:t>
        </w:r>
        <w:r w:rsidR="003B2305">
          <w:rPr>
            <w:noProof/>
            <w:webHidden/>
          </w:rPr>
          <w:fldChar w:fldCharType="end"/>
        </w:r>
      </w:hyperlink>
    </w:p>
    <w:p w:rsidR="003B2305" w:rsidRDefault="0060787B">
      <w:pPr>
        <w:pStyle w:val="TOC1"/>
        <w:tabs>
          <w:tab w:val="right" w:leader="dot" w:pos="10790"/>
        </w:tabs>
        <w:rPr>
          <w:rFonts w:asciiTheme="minorHAnsi" w:eastAsiaTheme="minorEastAsia" w:hAnsiTheme="minorHAnsi"/>
          <w:noProof/>
          <w:kern w:val="0"/>
          <w:sz w:val="22"/>
          <w:szCs w:val="22"/>
          <w14:ligatures w14:val="none"/>
        </w:rPr>
      </w:pPr>
      <w:hyperlink w:anchor="_Toc138791495" w:history="1">
        <w:r w:rsidR="003B2305" w:rsidRPr="00BC4D8D">
          <w:rPr>
            <w:rStyle w:val="Hyperlink"/>
            <w:noProof/>
          </w:rPr>
          <w:t>Priority 3: Support People with Disabilities in Disasters</w:t>
        </w:r>
        <w:r w:rsidR="003B2305">
          <w:rPr>
            <w:noProof/>
            <w:webHidden/>
          </w:rPr>
          <w:tab/>
        </w:r>
        <w:r w:rsidR="003B2305">
          <w:rPr>
            <w:noProof/>
            <w:webHidden/>
          </w:rPr>
          <w:fldChar w:fldCharType="begin"/>
        </w:r>
        <w:r w:rsidR="003B2305">
          <w:rPr>
            <w:noProof/>
            <w:webHidden/>
          </w:rPr>
          <w:instrText xml:space="preserve"> PAGEREF _Toc138791495 \h </w:instrText>
        </w:r>
        <w:r w:rsidR="003B2305">
          <w:rPr>
            <w:noProof/>
            <w:webHidden/>
          </w:rPr>
        </w:r>
        <w:r w:rsidR="003B2305">
          <w:rPr>
            <w:noProof/>
            <w:webHidden/>
          </w:rPr>
          <w:fldChar w:fldCharType="separate"/>
        </w:r>
        <w:r w:rsidR="001B571B">
          <w:rPr>
            <w:noProof/>
            <w:webHidden/>
          </w:rPr>
          <w:t>8</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496" w:history="1">
        <w:r w:rsidR="003B2305" w:rsidRPr="00BC4D8D">
          <w:rPr>
            <w:rStyle w:val="Hyperlink"/>
            <w:noProof/>
          </w:rPr>
          <w:t>Pass the Real Emergency Access for Aging and Disability Inclusion (REAADI) for Disasters Act</w:t>
        </w:r>
        <w:r w:rsidR="003B2305">
          <w:rPr>
            <w:noProof/>
            <w:webHidden/>
          </w:rPr>
          <w:tab/>
        </w:r>
        <w:r w:rsidR="003B2305">
          <w:rPr>
            <w:noProof/>
            <w:webHidden/>
          </w:rPr>
          <w:fldChar w:fldCharType="begin"/>
        </w:r>
        <w:r w:rsidR="003B2305">
          <w:rPr>
            <w:noProof/>
            <w:webHidden/>
          </w:rPr>
          <w:instrText xml:space="preserve"> PAGEREF _Toc138791496 \h </w:instrText>
        </w:r>
        <w:r w:rsidR="003B2305">
          <w:rPr>
            <w:noProof/>
            <w:webHidden/>
          </w:rPr>
        </w:r>
        <w:r w:rsidR="003B2305">
          <w:rPr>
            <w:noProof/>
            <w:webHidden/>
          </w:rPr>
          <w:fldChar w:fldCharType="separate"/>
        </w:r>
        <w:r w:rsidR="001B571B">
          <w:rPr>
            <w:noProof/>
            <w:webHidden/>
          </w:rPr>
          <w:t>8</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497" w:history="1">
        <w:r w:rsidR="003B2305" w:rsidRPr="00BC4D8D">
          <w:rPr>
            <w:rStyle w:val="Hyperlink"/>
            <w:noProof/>
          </w:rPr>
          <w:t>Support ACL / HHS’s Proposal in the President’s Budget for Human Services in Disasters</w:t>
        </w:r>
        <w:r w:rsidR="003B2305">
          <w:rPr>
            <w:noProof/>
            <w:webHidden/>
          </w:rPr>
          <w:tab/>
        </w:r>
        <w:r w:rsidR="003B2305">
          <w:rPr>
            <w:noProof/>
            <w:webHidden/>
          </w:rPr>
          <w:fldChar w:fldCharType="begin"/>
        </w:r>
        <w:r w:rsidR="003B2305">
          <w:rPr>
            <w:noProof/>
            <w:webHidden/>
          </w:rPr>
          <w:instrText xml:space="preserve"> PAGEREF _Toc138791497 \h </w:instrText>
        </w:r>
        <w:r w:rsidR="003B2305">
          <w:rPr>
            <w:noProof/>
            <w:webHidden/>
          </w:rPr>
        </w:r>
        <w:r w:rsidR="003B2305">
          <w:rPr>
            <w:noProof/>
            <w:webHidden/>
          </w:rPr>
          <w:fldChar w:fldCharType="separate"/>
        </w:r>
        <w:r w:rsidR="001B571B">
          <w:rPr>
            <w:noProof/>
            <w:webHidden/>
          </w:rPr>
          <w:t>9</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498" w:history="1">
        <w:r w:rsidR="003B2305" w:rsidRPr="00BC4D8D">
          <w:rPr>
            <w:rStyle w:val="Hyperlink"/>
            <w:noProof/>
          </w:rPr>
          <w:t>Establish a Disaster Human Services Emergency Fund</w:t>
        </w:r>
        <w:r w:rsidR="003B2305">
          <w:rPr>
            <w:noProof/>
            <w:webHidden/>
          </w:rPr>
          <w:tab/>
        </w:r>
        <w:r w:rsidR="003B2305">
          <w:rPr>
            <w:noProof/>
            <w:webHidden/>
          </w:rPr>
          <w:fldChar w:fldCharType="begin"/>
        </w:r>
        <w:r w:rsidR="003B2305">
          <w:rPr>
            <w:noProof/>
            <w:webHidden/>
          </w:rPr>
          <w:instrText xml:space="preserve"> PAGEREF _Toc138791498 \h </w:instrText>
        </w:r>
        <w:r w:rsidR="003B2305">
          <w:rPr>
            <w:noProof/>
            <w:webHidden/>
          </w:rPr>
        </w:r>
        <w:r w:rsidR="003B2305">
          <w:rPr>
            <w:noProof/>
            <w:webHidden/>
          </w:rPr>
          <w:fldChar w:fldCharType="separate"/>
        </w:r>
        <w:r w:rsidR="001B571B">
          <w:rPr>
            <w:noProof/>
            <w:webHidden/>
          </w:rPr>
          <w:t>9</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499" w:history="1">
        <w:r w:rsidR="003B2305" w:rsidRPr="00BC4D8D">
          <w:rPr>
            <w:rStyle w:val="Hyperlink"/>
            <w:noProof/>
          </w:rPr>
          <w:t>Establish a Capacity Building Grant Program and Technical Assistance Center</w:t>
        </w:r>
        <w:r w:rsidR="003B2305">
          <w:rPr>
            <w:noProof/>
            <w:webHidden/>
          </w:rPr>
          <w:tab/>
        </w:r>
        <w:r w:rsidR="003B2305">
          <w:rPr>
            <w:noProof/>
            <w:webHidden/>
          </w:rPr>
          <w:fldChar w:fldCharType="begin"/>
        </w:r>
        <w:r w:rsidR="003B2305">
          <w:rPr>
            <w:noProof/>
            <w:webHidden/>
          </w:rPr>
          <w:instrText xml:space="preserve"> PAGEREF _Toc138791499 \h </w:instrText>
        </w:r>
        <w:r w:rsidR="003B2305">
          <w:rPr>
            <w:noProof/>
            <w:webHidden/>
          </w:rPr>
        </w:r>
        <w:r w:rsidR="003B2305">
          <w:rPr>
            <w:noProof/>
            <w:webHidden/>
          </w:rPr>
          <w:fldChar w:fldCharType="separate"/>
        </w:r>
        <w:r w:rsidR="001B571B">
          <w:rPr>
            <w:noProof/>
            <w:webHidden/>
          </w:rPr>
          <w:t>9</w:t>
        </w:r>
        <w:r w:rsidR="003B2305">
          <w:rPr>
            <w:noProof/>
            <w:webHidden/>
          </w:rPr>
          <w:fldChar w:fldCharType="end"/>
        </w:r>
      </w:hyperlink>
    </w:p>
    <w:p w:rsidR="003B2305" w:rsidRDefault="0060787B">
      <w:pPr>
        <w:pStyle w:val="TOC1"/>
        <w:tabs>
          <w:tab w:val="right" w:leader="dot" w:pos="10790"/>
        </w:tabs>
        <w:rPr>
          <w:rFonts w:asciiTheme="minorHAnsi" w:eastAsiaTheme="minorEastAsia" w:hAnsiTheme="minorHAnsi"/>
          <w:noProof/>
          <w:kern w:val="0"/>
          <w:sz w:val="22"/>
          <w:szCs w:val="22"/>
          <w14:ligatures w14:val="none"/>
        </w:rPr>
      </w:pPr>
      <w:hyperlink w:anchor="_Toc138791500" w:history="1">
        <w:r w:rsidR="003B2305" w:rsidRPr="00BC4D8D">
          <w:rPr>
            <w:rStyle w:val="Hyperlink"/>
            <w:noProof/>
          </w:rPr>
          <w:t>NCIL Legislative Positions</w:t>
        </w:r>
        <w:r w:rsidR="003B2305">
          <w:rPr>
            <w:noProof/>
            <w:webHidden/>
          </w:rPr>
          <w:tab/>
        </w:r>
        <w:r w:rsidR="003B2305">
          <w:rPr>
            <w:noProof/>
            <w:webHidden/>
          </w:rPr>
          <w:fldChar w:fldCharType="begin"/>
        </w:r>
        <w:r w:rsidR="003B2305">
          <w:rPr>
            <w:noProof/>
            <w:webHidden/>
          </w:rPr>
          <w:instrText xml:space="preserve"> PAGEREF _Toc138791500 \h </w:instrText>
        </w:r>
        <w:r w:rsidR="003B2305">
          <w:rPr>
            <w:noProof/>
            <w:webHidden/>
          </w:rPr>
        </w:r>
        <w:r w:rsidR="003B2305">
          <w:rPr>
            <w:noProof/>
            <w:webHidden/>
          </w:rPr>
          <w:fldChar w:fldCharType="separate"/>
        </w:r>
        <w:r w:rsidR="001B571B">
          <w:rPr>
            <w:noProof/>
            <w:webHidden/>
          </w:rPr>
          <w:t>10</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501" w:history="1">
        <w:r w:rsidR="003B2305" w:rsidRPr="00BC4D8D">
          <w:rPr>
            <w:rStyle w:val="Hyperlink"/>
            <w:noProof/>
          </w:rPr>
          <w:t>Long Term Services &amp; Supports</w:t>
        </w:r>
        <w:r w:rsidR="003B2305">
          <w:rPr>
            <w:noProof/>
            <w:webHidden/>
          </w:rPr>
          <w:tab/>
        </w:r>
        <w:r w:rsidR="003B2305">
          <w:rPr>
            <w:noProof/>
            <w:webHidden/>
          </w:rPr>
          <w:fldChar w:fldCharType="begin"/>
        </w:r>
        <w:r w:rsidR="003B2305">
          <w:rPr>
            <w:noProof/>
            <w:webHidden/>
          </w:rPr>
          <w:instrText xml:space="preserve"> PAGEREF _Toc138791501 \h </w:instrText>
        </w:r>
        <w:r w:rsidR="003B2305">
          <w:rPr>
            <w:noProof/>
            <w:webHidden/>
          </w:rPr>
        </w:r>
        <w:r w:rsidR="003B2305">
          <w:rPr>
            <w:noProof/>
            <w:webHidden/>
          </w:rPr>
          <w:fldChar w:fldCharType="separate"/>
        </w:r>
        <w:r w:rsidR="001B571B">
          <w:rPr>
            <w:noProof/>
            <w:webHidden/>
          </w:rPr>
          <w:t>10</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502" w:history="1">
        <w:r w:rsidR="003B2305" w:rsidRPr="00BC4D8D">
          <w:rPr>
            <w:rStyle w:val="Hyperlink"/>
            <w:noProof/>
          </w:rPr>
          <w:t>Housing</w:t>
        </w:r>
        <w:r w:rsidR="003B2305">
          <w:rPr>
            <w:noProof/>
            <w:webHidden/>
          </w:rPr>
          <w:tab/>
        </w:r>
        <w:r w:rsidR="003B2305">
          <w:rPr>
            <w:noProof/>
            <w:webHidden/>
          </w:rPr>
          <w:fldChar w:fldCharType="begin"/>
        </w:r>
        <w:r w:rsidR="003B2305">
          <w:rPr>
            <w:noProof/>
            <w:webHidden/>
          </w:rPr>
          <w:instrText xml:space="preserve"> PAGEREF _Toc138791502 \h </w:instrText>
        </w:r>
        <w:r w:rsidR="003B2305">
          <w:rPr>
            <w:noProof/>
            <w:webHidden/>
          </w:rPr>
        </w:r>
        <w:r w:rsidR="003B2305">
          <w:rPr>
            <w:noProof/>
            <w:webHidden/>
          </w:rPr>
          <w:fldChar w:fldCharType="separate"/>
        </w:r>
        <w:r w:rsidR="001B571B">
          <w:rPr>
            <w:noProof/>
            <w:webHidden/>
          </w:rPr>
          <w:t>10</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503" w:history="1">
        <w:r w:rsidR="003B2305" w:rsidRPr="00BC4D8D">
          <w:rPr>
            <w:rStyle w:val="Hyperlink"/>
            <w:noProof/>
          </w:rPr>
          <w:t>Chronic Pain &amp; Opioids</w:t>
        </w:r>
        <w:r w:rsidR="003B2305">
          <w:rPr>
            <w:noProof/>
            <w:webHidden/>
          </w:rPr>
          <w:tab/>
        </w:r>
        <w:r w:rsidR="003B2305">
          <w:rPr>
            <w:noProof/>
            <w:webHidden/>
          </w:rPr>
          <w:fldChar w:fldCharType="begin"/>
        </w:r>
        <w:r w:rsidR="003B2305">
          <w:rPr>
            <w:noProof/>
            <w:webHidden/>
          </w:rPr>
          <w:instrText xml:space="preserve"> PAGEREF _Toc138791503 \h </w:instrText>
        </w:r>
        <w:r w:rsidR="003B2305">
          <w:rPr>
            <w:noProof/>
            <w:webHidden/>
          </w:rPr>
        </w:r>
        <w:r w:rsidR="003B2305">
          <w:rPr>
            <w:noProof/>
            <w:webHidden/>
          </w:rPr>
          <w:fldChar w:fldCharType="separate"/>
        </w:r>
        <w:r w:rsidR="001B571B">
          <w:rPr>
            <w:noProof/>
            <w:webHidden/>
          </w:rPr>
          <w:t>11</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504" w:history="1">
        <w:r w:rsidR="003B2305" w:rsidRPr="00BC4D8D">
          <w:rPr>
            <w:rStyle w:val="Hyperlink"/>
            <w:noProof/>
          </w:rPr>
          <w:t>Employment &amp; Social Security</w:t>
        </w:r>
        <w:r w:rsidR="003B2305">
          <w:rPr>
            <w:noProof/>
            <w:webHidden/>
          </w:rPr>
          <w:tab/>
        </w:r>
        <w:r w:rsidR="003B2305">
          <w:rPr>
            <w:noProof/>
            <w:webHidden/>
          </w:rPr>
          <w:fldChar w:fldCharType="begin"/>
        </w:r>
        <w:r w:rsidR="003B2305">
          <w:rPr>
            <w:noProof/>
            <w:webHidden/>
          </w:rPr>
          <w:instrText xml:space="preserve"> PAGEREF _Toc138791504 \h </w:instrText>
        </w:r>
        <w:r w:rsidR="003B2305">
          <w:rPr>
            <w:noProof/>
            <w:webHidden/>
          </w:rPr>
        </w:r>
        <w:r w:rsidR="003B2305">
          <w:rPr>
            <w:noProof/>
            <w:webHidden/>
          </w:rPr>
          <w:fldChar w:fldCharType="separate"/>
        </w:r>
        <w:r w:rsidR="001B571B">
          <w:rPr>
            <w:noProof/>
            <w:webHidden/>
          </w:rPr>
          <w:t>12</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505" w:history="1">
        <w:r w:rsidR="003B2305" w:rsidRPr="00BC4D8D">
          <w:rPr>
            <w:rStyle w:val="Hyperlink"/>
            <w:noProof/>
          </w:rPr>
          <w:t>Transportation</w:t>
        </w:r>
        <w:r w:rsidR="003B2305">
          <w:rPr>
            <w:noProof/>
            <w:webHidden/>
          </w:rPr>
          <w:tab/>
        </w:r>
        <w:r w:rsidR="003B2305">
          <w:rPr>
            <w:noProof/>
            <w:webHidden/>
          </w:rPr>
          <w:fldChar w:fldCharType="begin"/>
        </w:r>
        <w:r w:rsidR="003B2305">
          <w:rPr>
            <w:noProof/>
            <w:webHidden/>
          </w:rPr>
          <w:instrText xml:space="preserve"> PAGEREF _Toc138791505 \h </w:instrText>
        </w:r>
        <w:r w:rsidR="003B2305">
          <w:rPr>
            <w:noProof/>
            <w:webHidden/>
          </w:rPr>
        </w:r>
        <w:r w:rsidR="003B2305">
          <w:rPr>
            <w:noProof/>
            <w:webHidden/>
          </w:rPr>
          <w:fldChar w:fldCharType="separate"/>
        </w:r>
        <w:r w:rsidR="001B571B">
          <w:rPr>
            <w:noProof/>
            <w:webHidden/>
          </w:rPr>
          <w:t>13</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506" w:history="1">
        <w:r w:rsidR="003B2305" w:rsidRPr="00BC4D8D">
          <w:rPr>
            <w:rStyle w:val="Hyperlink"/>
            <w:noProof/>
          </w:rPr>
          <w:t>Healthcare</w:t>
        </w:r>
        <w:r w:rsidR="003B2305">
          <w:rPr>
            <w:noProof/>
            <w:webHidden/>
          </w:rPr>
          <w:tab/>
        </w:r>
        <w:r w:rsidR="003B2305">
          <w:rPr>
            <w:noProof/>
            <w:webHidden/>
          </w:rPr>
          <w:fldChar w:fldCharType="begin"/>
        </w:r>
        <w:r w:rsidR="003B2305">
          <w:rPr>
            <w:noProof/>
            <w:webHidden/>
          </w:rPr>
          <w:instrText xml:space="preserve"> PAGEREF _Toc138791506 \h </w:instrText>
        </w:r>
        <w:r w:rsidR="003B2305">
          <w:rPr>
            <w:noProof/>
            <w:webHidden/>
          </w:rPr>
        </w:r>
        <w:r w:rsidR="003B2305">
          <w:rPr>
            <w:noProof/>
            <w:webHidden/>
          </w:rPr>
          <w:fldChar w:fldCharType="separate"/>
        </w:r>
        <w:r w:rsidR="001B571B">
          <w:rPr>
            <w:noProof/>
            <w:webHidden/>
          </w:rPr>
          <w:t>14</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507" w:history="1">
        <w:r w:rsidR="003B2305" w:rsidRPr="00BC4D8D">
          <w:rPr>
            <w:rStyle w:val="Hyperlink"/>
            <w:noProof/>
          </w:rPr>
          <w:t>Civil Rights</w:t>
        </w:r>
        <w:bookmarkStart w:id="0" w:name="_GoBack"/>
        <w:bookmarkEnd w:id="0"/>
        <w:r w:rsidR="003B2305">
          <w:rPr>
            <w:noProof/>
            <w:webHidden/>
          </w:rPr>
          <w:tab/>
        </w:r>
        <w:r w:rsidR="003B2305">
          <w:rPr>
            <w:noProof/>
            <w:webHidden/>
          </w:rPr>
          <w:fldChar w:fldCharType="begin"/>
        </w:r>
        <w:r w:rsidR="003B2305">
          <w:rPr>
            <w:noProof/>
            <w:webHidden/>
          </w:rPr>
          <w:instrText xml:space="preserve"> PAGEREF _Toc138791507 \h </w:instrText>
        </w:r>
        <w:r w:rsidR="003B2305">
          <w:rPr>
            <w:noProof/>
            <w:webHidden/>
          </w:rPr>
        </w:r>
        <w:r w:rsidR="003B2305">
          <w:rPr>
            <w:noProof/>
            <w:webHidden/>
          </w:rPr>
          <w:fldChar w:fldCharType="separate"/>
        </w:r>
        <w:r w:rsidR="001B571B">
          <w:rPr>
            <w:noProof/>
            <w:webHidden/>
          </w:rPr>
          <w:t>14</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508" w:history="1">
        <w:r w:rsidR="003B2305" w:rsidRPr="00BC4D8D">
          <w:rPr>
            <w:rStyle w:val="Hyperlink"/>
            <w:noProof/>
          </w:rPr>
          <w:t>Voting Rights</w:t>
        </w:r>
        <w:r w:rsidR="003B2305">
          <w:rPr>
            <w:noProof/>
            <w:webHidden/>
          </w:rPr>
          <w:tab/>
        </w:r>
        <w:r w:rsidR="003B2305">
          <w:rPr>
            <w:noProof/>
            <w:webHidden/>
          </w:rPr>
          <w:fldChar w:fldCharType="begin"/>
        </w:r>
        <w:r w:rsidR="003B2305">
          <w:rPr>
            <w:noProof/>
            <w:webHidden/>
          </w:rPr>
          <w:instrText xml:space="preserve"> PAGEREF _Toc138791508 \h </w:instrText>
        </w:r>
        <w:r w:rsidR="003B2305">
          <w:rPr>
            <w:noProof/>
            <w:webHidden/>
          </w:rPr>
        </w:r>
        <w:r w:rsidR="003B2305">
          <w:rPr>
            <w:noProof/>
            <w:webHidden/>
          </w:rPr>
          <w:fldChar w:fldCharType="separate"/>
        </w:r>
        <w:r w:rsidR="001B571B">
          <w:rPr>
            <w:noProof/>
            <w:webHidden/>
          </w:rPr>
          <w:t>15</w:t>
        </w:r>
        <w:r w:rsidR="003B2305">
          <w:rPr>
            <w:noProof/>
            <w:webHidden/>
          </w:rPr>
          <w:fldChar w:fldCharType="end"/>
        </w:r>
      </w:hyperlink>
    </w:p>
    <w:p w:rsidR="003B2305" w:rsidRDefault="0060787B">
      <w:pPr>
        <w:pStyle w:val="TOC2"/>
        <w:tabs>
          <w:tab w:val="right" w:leader="dot" w:pos="10790"/>
        </w:tabs>
        <w:rPr>
          <w:rFonts w:asciiTheme="minorHAnsi" w:eastAsiaTheme="minorEastAsia" w:hAnsiTheme="minorHAnsi"/>
          <w:noProof/>
          <w:kern w:val="0"/>
          <w:sz w:val="22"/>
          <w:szCs w:val="22"/>
          <w14:ligatures w14:val="none"/>
        </w:rPr>
      </w:pPr>
      <w:hyperlink w:anchor="_Toc138791509" w:history="1">
        <w:r w:rsidR="003B2305" w:rsidRPr="00BC4D8D">
          <w:rPr>
            <w:rStyle w:val="Hyperlink"/>
            <w:noProof/>
          </w:rPr>
          <w:t>Education &amp; Youth</w:t>
        </w:r>
        <w:r w:rsidR="003B2305">
          <w:rPr>
            <w:noProof/>
            <w:webHidden/>
          </w:rPr>
          <w:tab/>
        </w:r>
        <w:r w:rsidR="003B2305">
          <w:rPr>
            <w:noProof/>
            <w:webHidden/>
          </w:rPr>
          <w:fldChar w:fldCharType="begin"/>
        </w:r>
        <w:r w:rsidR="003B2305">
          <w:rPr>
            <w:noProof/>
            <w:webHidden/>
          </w:rPr>
          <w:instrText xml:space="preserve"> PAGEREF _Toc138791509 \h </w:instrText>
        </w:r>
        <w:r w:rsidR="003B2305">
          <w:rPr>
            <w:noProof/>
            <w:webHidden/>
          </w:rPr>
        </w:r>
        <w:r w:rsidR="003B2305">
          <w:rPr>
            <w:noProof/>
            <w:webHidden/>
          </w:rPr>
          <w:fldChar w:fldCharType="separate"/>
        </w:r>
        <w:r w:rsidR="001B571B">
          <w:rPr>
            <w:noProof/>
            <w:webHidden/>
          </w:rPr>
          <w:t>15</w:t>
        </w:r>
        <w:r w:rsidR="003B2305">
          <w:rPr>
            <w:noProof/>
            <w:webHidden/>
          </w:rPr>
          <w:fldChar w:fldCharType="end"/>
        </w:r>
      </w:hyperlink>
    </w:p>
    <w:p w:rsidR="009B438F" w:rsidRDefault="005D7633" w:rsidP="001339AA">
      <w:r>
        <w:fldChar w:fldCharType="end"/>
      </w:r>
    </w:p>
    <w:p w:rsidR="009B438F" w:rsidRDefault="009B438F">
      <w:pPr>
        <w:spacing w:after="160" w:line="259" w:lineRule="auto"/>
      </w:pPr>
      <w:r>
        <w:br w:type="page"/>
      </w:r>
    </w:p>
    <w:p w:rsidR="00BA5163" w:rsidRPr="00A271E9" w:rsidRDefault="009B438F" w:rsidP="005464DD">
      <w:pPr>
        <w:pStyle w:val="Heading1"/>
      </w:pPr>
      <w:bookmarkStart w:id="1" w:name="_Toc138791492"/>
      <w:r>
        <w:rPr>
          <w:rFonts w:cs="Arial"/>
          <w:noProof/>
          <w:sz w:val="36"/>
          <w:szCs w:val="36"/>
        </w:rPr>
        <w:lastRenderedPageBreak/>
        <w:drawing>
          <wp:anchor distT="0" distB="0" distL="114300" distR="114300" simplePos="0" relativeHeight="251664384" behindDoc="0" locked="0" layoutInCell="1" allowOverlap="1" wp14:anchorId="4E998D9A" wp14:editId="73DA2210">
            <wp:simplePos x="0" y="0"/>
            <wp:positionH relativeFrom="margin">
              <wp:posOffset>1897380</wp:posOffset>
            </wp:positionH>
            <wp:positionV relativeFrom="margin">
              <wp:posOffset>358140</wp:posOffset>
            </wp:positionV>
            <wp:extent cx="4942986" cy="1645920"/>
            <wp:effectExtent l="0" t="0" r="0" b="0"/>
            <wp:wrapSquare wrapText="bothSides"/>
            <wp:docPr id="3" name="Picture 3" descr="5 for 5 Logo: Fund Centers for Independent Living - 500 Million; 5 Co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 for 5 Logo 2.jpg"/>
                    <pic:cNvPicPr/>
                  </pic:nvPicPr>
                  <pic:blipFill rotWithShape="1">
                    <a:blip r:embed="rId9" cstate="print">
                      <a:extLst>
                        <a:ext uri="{28A0092B-C50C-407E-A947-70E740481C1C}">
                          <a14:useLocalDpi xmlns:a14="http://schemas.microsoft.com/office/drawing/2010/main" val="0"/>
                        </a:ext>
                      </a:extLst>
                    </a:blip>
                    <a:srcRect t="4583" b="7917"/>
                    <a:stretch/>
                  </pic:blipFill>
                  <pic:spPr bwMode="auto">
                    <a:xfrm>
                      <a:off x="0" y="0"/>
                      <a:ext cx="4942986" cy="1645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64DD">
        <w:t xml:space="preserve">Priority 1: </w:t>
      </w:r>
      <w:r w:rsidR="006C0627">
        <w:t>Fund Centers for Independent Living</w:t>
      </w:r>
      <w:bookmarkEnd w:id="1"/>
    </w:p>
    <w:p w:rsidR="00BA5163" w:rsidRDefault="00BA5163" w:rsidP="00BA5163"/>
    <w:p w:rsidR="005464DD" w:rsidRDefault="005464DD" w:rsidP="00BA5163"/>
    <w:p w:rsidR="001339AA" w:rsidRDefault="001339AA" w:rsidP="00BA5163"/>
    <w:p w:rsidR="001339AA" w:rsidRDefault="001339AA" w:rsidP="00BA5163"/>
    <w:p w:rsidR="001339AA" w:rsidRDefault="001339AA" w:rsidP="00BA5163"/>
    <w:p w:rsidR="009B438F" w:rsidRDefault="009B438F" w:rsidP="00BA5163"/>
    <w:p w:rsidR="009B438F" w:rsidRDefault="009B438F" w:rsidP="00BA5163"/>
    <w:p w:rsidR="001339AA" w:rsidRDefault="001339AA" w:rsidP="009B438F"/>
    <w:p w:rsidR="009B438F" w:rsidRDefault="009B438F" w:rsidP="009B438F"/>
    <w:p w:rsidR="001339AA" w:rsidRPr="009B438F" w:rsidRDefault="001339AA" w:rsidP="001339AA">
      <w:pPr>
        <w:widowControl w:val="0"/>
        <w:rPr>
          <w:rFonts w:cs="Arial"/>
          <w:kern w:val="28"/>
          <w:sz w:val="32"/>
          <w:szCs w:val="32"/>
          <w14:ligatures w14:val="none"/>
        </w:rPr>
      </w:pPr>
      <w:r w:rsidRPr="009B438F">
        <w:rPr>
          <w:rFonts w:cs="Arial"/>
          <w:sz w:val="32"/>
          <w:szCs w:val="32"/>
          <w14:ligatures w14:val="none"/>
        </w:rPr>
        <w:t>Invest in Community Living &amp; Independence for People with Disabilities</w:t>
      </w:r>
    </w:p>
    <w:p w:rsidR="001339AA" w:rsidRDefault="001339AA" w:rsidP="001339AA">
      <w:pPr>
        <w:widowControl w:val="0"/>
        <w:jc w:val="center"/>
        <w:rPr>
          <w:rFonts w:cs="Arial"/>
          <w:b/>
          <w:bCs/>
          <w:sz w:val="28"/>
          <w:szCs w:val="28"/>
          <w14:ligatures w14:val="none"/>
        </w:rPr>
      </w:pPr>
      <w:r>
        <w:rPr>
          <w:rFonts w:cs="Arial"/>
          <w:b/>
          <w:bCs/>
          <w:sz w:val="28"/>
          <w:szCs w:val="28"/>
          <w14:ligatures w14:val="none"/>
        </w:rPr>
        <w:t> </w:t>
      </w:r>
    </w:p>
    <w:p w:rsidR="009B438F" w:rsidRDefault="001339AA" w:rsidP="009B438F">
      <w:pPr>
        <w:widowControl w:val="0"/>
        <w:rPr>
          <w:rFonts w:cs="Arial"/>
          <w14:ligatures w14:val="none"/>
        </w:rPr>
      </w:pPr>
      <w:r>
        <w:rPr>
          <w:rFonts w:cs="Arial"/>
          <w14:ligatures w14:val="none"/>
        </w:rPr>
        <w:t xml:space="preserve">Centers for Independent Living (CILs) (Title VII, Rehabilitation Act, as amended) have been underfunded for decades, leading to individuals with disabilities lacking access to critical services and support! </w:t>
      </w:r>
    </w:p>
    <w:p w:rsidR="009B438F" w:rsidRDefault="009B438F" w:rsidP="009B438F">
      <w:pPr>
        <w:widowControl w:val="0"/>
        <w:jc w:val="center"/>
        <w:rPr>
          <w:rFonts w:cs="Arial"/>
          <w14:ligatures w14:val="none"/>
        </w:rPr>
      </w:pPr>
      <w:r>
        <w:rPr>
          <w:rFonts w:cs="Arial"/>
          <w:noProof/>
          <w14:ligatures w14:val="none"/>
        </w:rPr>
        <w:drawing>
          <wp:inline distT="0" distB="0" distL="0" distR="0" wp14:anchorId="1259A6D8" wp14:editId="146256A8">
            <wp:extent cx="1531621" cy="464820"/>
            <wp:effectExtent l="0" t="0" r="0" b="0"/>
            <wp:docPr id="4" name="Picture 4" descr="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1621" cy="464820"/>
                    </a:xfrm>
                    <a:prstGeom prst="rect">
                      <a:avLst/>
                    </a:prstGeom>
                  </pic:spPr>
                </pic:pic>
              </a:graphicData>
            </a:graphic>
          </wp:inline>
        </w:drawing>
      </w:r>
    </w:p>
    <w:p w:rsidR="001339AA" w:rsidRDefault="001339AA" w:rsidP="001339AA">
      <w:pPr>
        <w:widowControl w:val="0"/>
        <w:rPr>
          <w:rFonts w:cs="Arial"/>
          <w14:ligatures w14:val="none"/>
        </w:rPr>
      </w:pPr>
      <w:r>
        <w:rPr>
          <w:rFonts w:cs="Arial"/>
          <w14:ligatures w14:val="none"/>
        </w:rPr>
        <w:t>Many areas in the U.S., especially in rural communities do not have access to a CIL. CILs need more funding in order to expand their service areas to address the unmet needs.</w:t>
      </w:r>
    </w:p>
    <w:p w:rsidR="001339AA" w:rsidRDefault="001339AA" w:rsidP="001339AA">
      <w:pPr>
        <w:widowControl w:val="0"/>
        <w:rPr>
          <w:rFonts w:cs="Arial"/>
          <w14:ligatures w14:val="none"/>
        </w:rPr>
      </w:pPr>
      <w:r>
        <w:rPr>
          <w:rFonts w:cs="Arial"/>
          <w14:ligatures w14:val="none"/>
        </w:rPr>
        <w:t> </w:t>
      </w:r>
    </w:p>
    <w:p w:rsidR="001339AA" w:rsidRDefault="001339AA" w:rsidP="001339AA">
      <w:pPr>
        <w:widowControl w:val="0"/>
        <w:rPr>
          <w:rFonts w:cs="Arial"/>
          <w:sz w:val="36"/>
          <w:szCs w:val="36"/>
          <w14:ligatures w14:val="none"/>
        </w:rPr>
      </w:pPr>
      <w:r w:rsidRPr="009B438F">
        <w:rPr>
          <w:rFonts w:cs="Arial"/>
          <w:sz w:val="44"/>
          <w:szCs w:val="44"/>
          <w14:ligatures w14:val="none"/>
        </w:rPr>
        <w:t>1,216,970</w:t>
      </w:r>
      <w:r w:rsidRPr="009B438F">
        <w:rPr>
          <w:rFonts w:cs="Arial"/>
          <w:sz w:val="32"/>
          <w:szCs w:val="32"/>
          <w14:ligatures w14:val="none"/>
        </w:rPr>
        <w:t xml:space="preserve"> Services Provided</w:t>
      </w:r>
    </w:p>
    <w:p w:rsidR="001339AA" w:rsidRDefault="001339AA" w:rsidP="001339AA">
      <w:pPr>
        <w:widowControl w:val="0"/>
        <w:rPr>
          <w:rFonts w:cs="Arial"/>
          <w14:ligatures w14:val="none"/>
        </w:rPr>
      </w:pPr>
      <w:r>
        <w:rPr>
          <w:rFonts w:cs="Arial"/>
          <w14:ligatures w14:val="none"/>
        </w:rPr>
        <w:t> </w:t>
      </w:r>
    </w:p>
    <w:p w:rsidR="001339AA" w:rsidRDefault="001339AA" w:rsidP="001339AA">
      <w:pPr>
        <w:widowControl w:val="0"/>
        <w:rPr>
          <w:rFonts w:cs="Arial"/>
          <w14:ligatures w14:val="none"/>
        </w:rPr>
      </w:pPr>
      <w:r>
        <w:rPr>
          <w:rFonts w:cs="Arial"/>
          <w14:ligatures w14:val="none"/>
        </w:rPr>
        <w:t xml:space="preserve">In 2020, CILs transitioned 3,915 individuals from institutional settings to the community. Based on information from the Kaiser Family Foundation, the average nursing home cost is $105,852 each year, compared to home and community-based supports, which average $31,100 per year. That equates to a savings of $292,654,080 annually, or a 231% return on investment. </w:t>
      </w:r>
    </w:p>
    <w:p w:rsidR="001339AA" w:rsidRDefault="001339AA" w:rsidP="001339AA">
      <w:pPr>
        <w:widowControl w:val="0"/>
        <w:rPr>
          <w:rFonts w:cs="Arial"/>
          <w14:ligatures w14:val="none"/>
        </w:rPr>
      </w:pPr>
      <w:r>
        <w:rPr>
          <w:rFonts w:cs="Arial"/>
          <w14:ligatures w14:val="none"/>
        </w:rPr>
        <w:t> </w:t>
      </w:r>
    </w:p>
    <w:p w:rsidR="001339AA" w:rsidRDefault="001339AA" w:rsidP="001339AA">
      <w:pPr>
        <w:widowControl w:val="0"/>
        <w:rPr>
          <w:rFonts w:cs="Arial"/>
          <w:sz w:val="36"/>
          <w:szCs w:val="36"/>
          <w14:ligatures w14:val="none"/>
        </w:rPr>
      </w:pPr>
      <w:r w:rsidRPr="009B438F">
        <w:rPr>
          <w:rFonts w:cs="Arial"/>
          <w:sz w:val="44"/>
          <w:szCs w:val="44"/>
          <w14:ligatures w14:val="none"/>
        </w:rPr>
        <w:t>712,223</w:t>
      </w:r>
      <w:r w:rsidRPr="009B438F">
        <w:rPr>
          <w:rFonts w:cs="Arial"/>
          <w:sz w:val="32"/>
          <w:szCs w:val="32"/>
          <w14:ligatures w14:val="none"/>
        </w:rPr>
        <w:t xml:space="preserve"> Successful Outcomes</w:t>
      </w:r>
    </w:p>
    <w:p w:rsidR="001339AA" w:rsidRDefault="001339AA" w:rsidP="001339AA">
      <w:pPr>
        <w:widowControl w:val="0"/>
        <w:rPr>
          <w:rFonts w:cs="Arial"/>
          <w14:ligatures w14:val="none"/>
        </w:rPr>
      </w:pPr>
      <w:r>
        <w:rPr>
          <w:rFonts w:cs="Arial"/>
          <w14:ligatures w14:val="none"/>
        </w:rPr>
        <w:t> </w:t>
      </w:r>
    </w:p>
    <w:p w:rsidR="001339AA" w:rsidRDefault="001339AA" w:rsidP="001339AA">
      <w:pPr>
        <w:widowControl w:val="0"/>
        <w:rPr>
          <w:rFonts w:cs="Arial"/>
          <w14:ligatures w14:val="none"/>
        </w:rPr>
      </w:pPr>
      <w:r>
        <w:rPr>
          <w:rFonts w:cs="Arial"/>
          <w14:ligatures w14:val="none"/>
        </w:rPr>
        <w:t xml:space="preserve">CILs provide a unique one-stop resource to people with disabilities. Most of our staff, board, and management are individuals with disabilities. This creates responsive, dynamic, and knowledgeable places for people to turn to. </w:t>
      </w:r>
    </w:p>
    <w:p w:rsidR="001339AA" w:rsidRDefault="001339AA" w:rsidP="001339AA">
      <w:pPr>
        <w:widowControl w:val="0"/>
        <w:rPr>
          <w:rFonts w:cs="Arial"/>
          <w14:ligatures w14:val="none"/>
        </w:rPr>
      </w:pPr>
      <w:r>
        <w:rPr>
          <w:rFonts w:cs="Arial"/>
          <w14:ligatures w14:val="none"/>
        </w:rPr>
        <w:t> </w:t>
      </w:r>
    </w:p>
    <w:p w:rsidR="001339AA" w:rsidRDefault="001339AA" w:rsidP="001339AA">
      <w:pPr>
        <w:widowControl w:val="0"/>
        <w:rPr>
          <w:rFonts w:cs="Arial"/>
          <w14:ligatures w14:val="none"/>
        </w:rPr>
      </w:pPr>
      <w:r>
        <w:rPr>
          <w:rFonts w:cs="Arial"/>
          <w14:ligatures w14:val="none"/>
        </w:rPr>
        <w:t xml:space="preserve">In 2020, 66% of all staff of CILs were people with disabilities, employing 4,575 individuals with disabilities with 1,197 in management of their CIL.   </w:t>
      </w:r>
    </w:p>
    <w:p w:rsidR="001339AA" w:rsidRDefault="001339AA" w:rsidP="001339AA">
      <w:pPr>
        <w:widowControl w:val="0"/>
        <w:rPr>
          <w:rFonts w:cs="Arial"/>
          <w14:ligatures w14:val="none"/>
        </w:rPr>
      </w:pPr>
      <w:r>
        <w:rPr>
          <w:rFonts w:cs="Arial"/>
          <w14:ligatures w14:val="none"/>
        </w:rPr>
        <w:t> </w:t>
      </w:r>
    </w:p>
    <w:p w:rsidR="001339AA" w:rsidRPr="009B438F" w:rsidRDefault="001339AA" w:rsidP="001339AA">
      <w:pPr>
        <w:widowControl w:val="0"/>
        <w:rPr>
          <w:rFonts w:cs="Arial"/>
          <w:sz w:val="32"/>
          <w:szCs w:val="32"/>
          <w14:ligatures w14:val="none"/>
        </w:rPr>
      </w:pPr>
      <w:r w:rsidRPr="009B438F">
        <w:rPr>
          <w:rFonts w:cs="Arial"/>
          <w:sz w:val="32"/>
          <w:szCs w:val="32"/>
          <w14:ligatures w14:val="none"/>
        </w:rPr>
        <w:t>Individuals with Disabilities Need Better Access to Comprehensive Independent Living Services</w:t>
      </w:r>
    </w:p>
    <w:p w:rsidR="001339AA" w:rsidRDefault="001339AA" w:rsidP="001339AA">
      <w:pPr>
        <w:widowControl w:val="0"/>
        <w:rPr>
          <w:rFonts w:cs="Arial"/>
          <w14:ligatures w14:val="none"/>
        </w:rPr>
      </w:pPr>
      <w:r>
        <w:rPr>
          <w:rFonts w:cs="Arial"/>
          <w14:ligatures w14:val="none"/>
        </w:rPr>
        <w:t> </w:t>
      </w:r>
    </w:p>
    <w:p w:rsidR="001339AA" w:rsidRDefault="001339AA" w:rsidP="009B438F">
      <w:pPr>
        <w:widowControl w:val="0"/>
        <w:rPr>
          <w14:ligatures w14:val="none"/>
        </w:rPr>
      </w:pPr>
      <w:r>
        <w:rPr>
          <w:rFonts w:cs="Arial"/>
          <w14:ligatures w14:val="none"/>
        </w:rPr>
        <w:t>Funding CILs enables individuals with disabilities to live in their homes with their families where they can work, attend school, worship, and participate in other community activities. CILs are hubs of disability information, resources, services, and advocacy. CILs are vital to the whole community. It also creates tremendous savings for taxpayers.</w:t>
      </w:r>
      <w:r>
        <w:t> </w:t>
      </w:r>
      <w:r>
        <w:rPr>
          <w14:ligatures w14:val="none"/>
        </w:rPr>
        <w:t> </w:t>
      </w:r>
    </w:p>
    <w:p w:rsidR="00633032" w:rsidRDefault="00633032" w:rsidP="009B438F">
      <w:pPr>
        <w:widowControl w:val="0"/>
        <w:rPr>
          <w14:ligatures w14:val="none"/>
        </w:rPr>
      </w:pPr>
    </w:p>
    <w:p w:rsidR="00633032" w:rsidRPr="00633032" w:rsidRDefault="00633032" w:rsidP="00633032">
      <w:pPr>
        <w:widowControl w:val="0"/>
        <w:rPr>
          <w:rFonts w:cs="Arial"/>
          <w:kern w:val="28"/>
          <w:sz w:val="40"/>
          <w:szCs w:val="40"/>
          <w14:ligatures w14:val="none"/>
        </w:rPr>
      </w:pPr>
      <w:r w:rsidRPr="00633032">
        <w:rPr>
          <w:rFonts w:cs="Arial"/>
          <w:sz w:val="40"/>
          <w:szCs w:val="40"/>
          <w14:ligatures w14:val="none"/>
        </w:rPr>
        <w:lastRenderedPageBreak/>
        <w:t>What is Independent Living?</w:t>
      </w:r>
      <w:r w:rsidRPr="00633032">
        <w:rPr>
          <w:rFonts w:cs="Arial"/>
          <w:sz w:val="40"/>
          <w:szCs w:val="40"/>
          <w14:ligatures w14:val="none"/>
        </w:rPr>
        <w:tab/>
      </w:r>
    </w:p>
    <w:p w:rsidR="00633032" w:rsidRDefault="00633032" w:rsidP="00633032">
      <w:pPr>
        <w:widowControl w:val="0"/>
        <w:rPr>
          <w:rFonts w:cs="Arial"/>
          <w14:ligatures w14:val="none"/>
        </w:rPr>
      </w:pPr>
      <w:r>
        <w:rPr>
          <w:rFonts w:cs="Arial"/>
          <w14:ligatures w14:val="none"/>
        </w:rPr>
        <w:t> </w:t>
      </w:r>
    </w:p>
    <w:p w:rsidR="00633032" w:rsidRPr="00633032" w:rsidRDefault="00583A47" w:rsidP="00633032">
      <w:pPr>
        <w:widowControl w:val="0"/>
        <w:rPr>
          <w:rFonts w:cs="Arial"/>
          <w14:ligatures w14:val="none"/>
        </w:rPr>
      </w:pPr>
      <w:r>
        <w:rPr>
          <w:rFonts w:cs="Arial"/>
          <w:noProof/>
          <w14:ligatures w14:val="none"/>
        </w:rPr>
        <w:drawing>
          <wp:anchor distT="0" distB="0" distL="114300" distR="114300" simplePos="0" relativeHeight="251665408" behindDoc="0" locked="0" layoutInCell="1" allowOverlap="1" wp14:anchorId="1BA328A0" wp14:editId="5D5A4170">
            <wp:simplePos x="0" y="0"/>
            <wp:positionH relativeFrom="margin">
              <wp:posOffset>5074920</wp:posOffset>
            </wp:positionH>
            <wp:positionV relativeFrom="margin">
              <wp:posOffset>1089660</wp:posOffset>
            </wp:positionV>
            <wp:extent cx="1718310" cy="1920240"/>
            <wp:effectExtent l="0" t="0" r="0" b="3810"/>
            <wp:wrapSquare wrapText="bothSides"/>
            <wp:docPr id="6" name="Picture 6" descr="5 for 5 Logo: Fund Centers for Independent Living - 500 Million; 5 Co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for 5 Logo 1.jpg"/>
                    <pic:cNvPicPr/>
                  </pic:nvPicPr>
                  <pic:blipFill rotWithShape="1">
                    <a:blip r:embed="rId11" cstate="print">
                      <a:extLst>
                        <a:ext uri="{28A0092B-C50C-407E-A947-70E740481C1C}">
                          <a14:useLocalDpi xmlns:a14="http://schemas.microsoft.com/office/drawing/2010/main" val="0"/>
                        </a:ext>
                      </a:extLst>
                    </a:blip>
                    <a:srcRect l="9445" t="3611" r="10000" b="6389"/>
                    <a:stretch/>
                  </pic:blipFill>
                  <pic:spPr bwMode="auto">
                    <a:xfrm>
                      <a:off x="0" y="0"/>
                      <a:ext cx="1718310" cy="1920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3032">
        <w:rPr>
          <w:rFonts w:cs="Arial"/>
          <w14:ligatures w14:val="none"/>
        </w:rPr>
        <w:t>A movement, a philosophy, specific programs that provide tools, resources, and support for integrating people with disabilities fully into their communities to promote equal opportunities, self-determination, and respect. All people can:</w:t>
      </w:r>
      <w:r>
        <w:rPr>
          <w:rFonts w:cs="Arial"/>
          <w14:ligatures w14:val="none"/>
        </w:rPr>
        <w:t xml:space="preserve"> l</w:t>
      </w:r>
      <w:r w:rsidR="00633032" w:rsidRPr="00633032">
        <w:rPr>
          <w:rFonts w:cs="Arial"/>
          <w14:ligatures w14:val="none"/>
        </w:rPr>
        <w:t xml:space="preserve">ive with </w:t>
      </w:r>
      <w:r w:rsidR="00633032" w:rsidRPr="00633032">
        <w:rPr>
          <w:rFonts w:cs="Arial"/>
          <w:b/>
          <w14:ligatures w14:val="none"/>
        </w:rPr>
        <w:t>dignity</w:t>
      </w:r>
      <w:r w:rsidR="00633032" w:rsidRPr="00633032">
        <w:rPr>
          <w:rFonts w:cs="Arial"/>
          <w14:ligatures w14:val="none"/>
        </w:rPr>
        <w:t>,</w:t>
      </w:r>
      <w:r w:rsidR="00633032">
        <w:rPr>
          <w:rFonts w:cs="Arial"/>
          <w14:ligatures w14:val="none"/>
        </w:rPr>
        <w:t xml:space="preserve"> m</w:t>
      </w:r>
      <w:r w:rsidR="00633032" w:rsidRPr="00633032">
        <w:rPr>
          <w:rFonts w:cs="Arial"/>
          <w14:ligatures w14:val="none"/>
        </w:rPr>
        <w:t xml:space="preserve">ake their own </w:t>
      </w:r>
      <w:r w:rsidR="00633032" w:rsidRPr="00633032">
        <w:rPr>
          <w:rFonts w:cs="Arial"/>
          <w:b/>
          <w14:ligatures w14:val="none"/>
        </w:rPr>
        <w:t>choices</w:t>
      </w:r>
      <w:r w:rsidR="00633032" w:rsidRPr="00633032">
        <w:rPr>
          <w:rFonts w:cs="Arial"/>
          <w14:ligatures w14:val="none"/>
        </w:rPr>
        <w:t>, and</w:t>
      </w:r>
      <w:r w:rsidR="00633032">
        <w:rPr>
          <w:rFonts w:cs="Arial"/>
          <w14:ligatures w14:val="none"/>
        </w:rPr>
        <w:t xml:space="preserve"> </w:t>
      </w:r>
      <w:r w:rsidR="00633032" w:rsidRPr="00633032">
        <w:rPr>
          <w:rFonts w:cs="Arial"/>
          <w:b/>
          <w14:ligatures w14:val="none"/>
        </w:rPr>
        <w:t>participate fully</w:t>
      </w:r>
      <w:r w:rsidR="00633032" w:rsidRPr="00633032">
        <w:rPr>
          <w:rFonts w:cs="Arial"/>
          <w14:ligatures w14:val="none"/>
        </w:rPr>
        <w:t xml:space="preserve"> in society.</w:t>
      </w:r>
    </w:p>
    <w:p w:rsidR="00633032" w:rsidRDefault="00633032" w:rsidP="00633032">
      <w:pPr>
        <w:widowControl w:val="0"/>
        <w:rPr>
          <w:rFonts w:cs="Arial"/>
          <w14:ligatures w14:val="none"/>
        </w:rPr>
      </w:pPr>
      <w:r>
        <w:rPr>
          <w:rFonts w:cs="Arial"/>
          <w14:ligatures w14:val="none"/>
        </w:rPr>
        <w:t> </w:t>
      </w:r>
    </w:p>
    <w:p w:rsidR="00633032" w:rsidRPr="00633032" w:rsidRDefault="00633032" w:rsidP="00633032">
      <w:pPr>
        <w:widowControl w:val="0"/>
        <w:rPr>
          <w:rFonts w:cs="Arial"/>
          <w:sz w:val="32"/>
          <w:szCs w:val="32"/>
          <w14:ligatures w14:val="none"/>
        </w:rPr>
      </w:pPr>
      <w:r w:rsidRPr="00633032">
        <w:rPr>
          <w:rFonts w:cs="Arial"/>
          <w:sz w:val="32"/>
          <w:szCs w:val="32"/>
          <w14:ligatures w14:val="none"/>
        </w:rPr>
        <w:t>Why Community Living?</w:t>
      </w:r>
    </w:p>
    <w:p w:rsidR="00633032" w:rsidRDefault="00633032" w:rsidP="00633032">
      <w:pPr>
        <w:widowControl w:val="0"/>
        <w:rPr>
          <w:rFonts w:cs="Arial"/>
          <w14:ligatures w14:val="none"/>
        </w:rPr>
      </w:pPr>
      <w:r>
        <w:rPr>
          <w:rFonts w:cs="Arial"/>
          <w14:ligatures w14:val="none"/>
        </w:rPr>
        <w:t> </w:t>
      </w:r>
    </w:p>
    <w:p w:rsidR="00633032" w:rsidRPr="00633032" w:rsidRDefault="00633032" w:rsidP="00633032">
      <w:pPr>
        <w:pStyle w:val="ListParagraph"/>
        <w:widowControl w:val="0"/>
        <w:numPr>
          <w:ilvl w:val="0"/>
          <w:numId w:val="16"/>
        </w:numPr>
        <w:rPr>
          <w:rFonts w:cs="Arial"/>
          <w14:ligatures w14:val="none"/>
        </w:rPr>
      </w:pPr>
      <w:r w:rsidRPr="00633032">
        <w:rPr>
          <w:rFonts w:cs="Arial"/>
          <w14:ligatures w14:val="none"/>
        </w:rPr>
        <w:t>People prefer to live in their own homes.</w:t>
      </w:r>
    </w:p>
    <w:p w:rsidR="00633032" w:rsidRPr="00633032" w:rsidRDefault="00633032" w:rsidP="00633032">
      <w:pPr>
        <w:pStyle w:val="ListParagraph"/>
        <w:widowControl w:val="0"/>
        <w:numPr>
          <w:ilvl w:val="0"/>
          <w:numId w:val="16"/>
        </w:numPr>
        <w:rPr>
          <w:rFonts w:cs="Arial"/>
          <w14:ligatures w14:val="none"/>
        </w:rPr>
      </w:pPr>
      <w:r w:rsidRPr="00633032">
        <w:rPr>
          <w:rFonts w:cs="Arial"/>
          <w14:ligatures w14:val="none"/>
        </w:rPr>
        <w:t>It is a legal right.</w:t>
      </w:r>
    </w:p>
    <w:p w:rsidR="00633032" w:rsidRPr="00633032" w:rsidRDefault="00633032" w:rsidP="00633032">
      <w:pPr>
        <w:pStyle w:val="ListParagraph"/>
        <w:widowControl w:val="0"/>
        <w:numPr>
          <w:ilvl w:val="0"/>
          <w:numId w:val="16"/>
        </w:numPr>
        <w:rPr>
          <w:rFonts w:cs="Arial"/>
          <w14:ligatures w14:val="none"/>
        </w:rPr>
      </w:pPr>
      <w:r w:rsidRPr="00633032">
        <w:rPr>
          <w:rFonts w:cs="Arial"/>
          <w14:ligatures w14:val="none"/>
        </w:rPr>
        <w:t>It costs less.</w:t>
      </w:r>
    </w:p>
    <w:p w:rsidR="00633032" w:rsidRPr="00633032" w:rsidRDefault="00633032" w:rsidP="00633032">
      <w:pPr>
        <w:pStyle w:val="ListParagraph"/>
        <w:widowControl w:val="0"/>
        <w:numPr>
          <w:ilvl w:val="0"/>
          <w:numId w:val="16"/>
        </w:numPr>
        <w:rPr>
          <w:rFonts w:cs="Arial"/>
          <w14:ligatures w14:val="none"/>
        </w:rPr>
      </w:pPr>
      <w:r w:rsidRPr="00633032">
        <w:rPr>
          <w:rFonts w:cs="Arial"/>
          <w14:ligatures w14:val="none"/>
        </w:rPr>
        <w:t>Everyone benefits when everyone can contribute.</w:t>
      </w:r>
    </w:p>
    <w:p w:rsidR="00633032" w:rsidRDefault="00633032" w:rsidP="00633032">
      <w:pPr>
        <w:widowControl w:val="0"/>
        <w:rPr>
          <w:rFonts w:cs="Arial"/>
          <w14:ligatures w14:val="none"/>
        </w:rPr>
      </w:pPr>
      <w:r>
        <w:rPr>
          <w:rFonts w:cs="Arial"/>
          <w14:ligatures w14:val="none"/>
        </w:rPr>
        <w:t> </w:t>
      </w:r>
    </w:p>
    <w:p w:rsidR="00633032" w:rsidRPr="00633032" w:rsidRDefault="00633032" w:rsidP="00633032">
      <w:pPr>
        <w:widowControl w:val="0"/>
        <w:rPr>
          <w:rFonts w:cs="Arial"/>
          <w:sz w:val="32"/>
          <w:szCs w:val="32"/>
          <w14:ligatures w14:val="none"/>
        </w:rPr>
      </w:pPr>
      <w:r w:rsidRPr="00633032">
        <w:rPr>
          <w:rFonts w:cs="Arial"/>
          <w:sz w:val="32"/>
          <w:szCs w:val="32"/>
          <w14:ligatures w14:val="none"/>
        </w:rPr>
        <w:t>Centers for Independent Living (CILs)</w:t>
      </w:r>
    </w:p>
    <w:p w:rsidR="00633032" w:rsidRDefault="00633032" w:rsidP="00633032">
      <w:pPr>
        <w:widowControl w:val="0"/>
        <w:rPr>
          <w:rFonts w:cs="Arial"/>
          <w14:ligatures w14:val="none"/>
        </w:rPr>
      </w:pPr>
      <w:r>
        <w:rPr>
          <w:rFonts w:cs="Arial"/>
          <w14:ligatures w14:val="none"/>
        </w:rPr>
        <w:t> </w:t>
      </w:r>
    </w:p>
    <w:p w:rsidR="00633032" w:rsidRDefault="00633032" w:rsidP="00633032">
      <w:pPr>
        <w:widowControl w:val="0"/>
        <w:rPr>
          <w:rFonts w:cs="Arial"/>
          <w14:ligatures w14:val="none"/>
        </w:rPr>
      </w:pPr>
      <w:r>
        <w:rPr>
          <w:rFonts w:cs="Arial"/>
          <w14:ligatures w14:val="none"/>
        </w:rPr>
        <w:t xml:space="preserve">CILs are hubs of disability information, resources, services, and advocacy. CILs have a unique ability to creatively address barriers within their individual communities, allowing the CIL network to respond quickly and effectively in times of crisis and emergency. Investing in CILs benefits the entire community and yields a strong return for taxpayers. Federally funded CILs provide five core services: </w:t>
      </w:r>
    </w:p>
    <w:p w:rsidR="00633032" w:rsidRDefault="00633032" w:rsidP="00633032">
      <w:pPr>
        <w:widowControl w:val="0"/>
        <w:rPr>
          <w:rFonts w:cs="Arial"/>
          <w14:ligatures w14:val="none"/>
        </w:rPr>
      </w:pPr>
    </w:p>
    <w:p w:rsidR="00633032" w:rsidRDefault="00633032" w:rsidP="00633032">
      <w:pPr>
        <w:widowControl w:val="0"/>
        <w:rPr>
          <w:rFonts w:cs="Arial"/>
          <w14:ligatures w14:val="none"/>
        </w:rPr>
      </w:pPr>
      <w:r>
        <w:rPr>
          <w:rFonts w:cs="Arial"/>
          <w:noProof/>
          <w14:ligatures w14:val="none"/>
        </w:rPr>
        <w:drawing>
          <wp:inline distT="0" distB="0" distL="0" distR="0" wp14:anchorId="6A8D522E" wp14:editId="4A96AF83">
            <wp:extent cx="6858000" cy="994410"/>
            <wp:effectExtent l="0" t="0" r="0" b="0"/>
            <wp:docPr id="7" name="Picture 7" descr="1. Information &amp; Referral Services&#10;2. Independent Living &amp; Life Skills Training &#10;3. Individual &amp; Systems Advocacy&#10;4. Peer Support &amp; Mentoring for Youth and Adults &#10;5. Institutional Transition &amp; Diversion; Youth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re Servic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994410"/>
                    </a:xfrm>
                    <a:prstGeom prst="rect">
                      <a:avLst/>
                    </a:prstGeom>
                  </pic:spPr>
                </pic:pic>
              </a:graphicData>
            </a:graphic>
          </wp:inline>
        </w:drawing>
      </w:r>
    </w:p>
    <w:p w:rsidR="00633032" w:rsidRDefault="00633032" w:rsidP="00633032">
      <w:pPr>
        <w:widowControl w:val="0"/>
        <w:rPr>
          <w:rFonts w:cs="Arial"/>
          <w14:ligatures w14:val="none"/>
        </w:rPr>
      </w:pPr>
      <w:r>
        <w:rPr>
          <w:rFonts w:cs="Arial"/>
          <w14:ligatures w14:val="none"/>
        </w:rPr>
        <w:t>  </w:t>
      </w:r>
    </w:p>
    <w:p w:rsidR="00633032" w:rsidRPr="00633032" w:rsidRDefault="00633032" w:rsidP="00633032">
      <w:pPr>
        <w:widowControl w:val="0"/>
        <w:rPr>
          <w:rFonts w:cs="Arial"/>
          <w:sz w:val="32"/>
          <w:szCs w:val="32"/>
          <w14:ligatures w14:val="none"/>
        </w:rPr>
      </w:pPr>
      <w:r w:rsidRPr="00633032">
        <w:rPr>
          <w:rFonts w:cs="Arial"/>
          <w:sz w:val="32"/>
          <w:szCs w:val="32"/>
          <w14:ligatures w14:val="none"/>
        </w:rPr>
        <w:t>Statewide Independent Living Councils (SILCs)</w:t>
      </w:r>
    </w:p>
    <w:p w:rsidR="00633032" w:rsidRDefault="00633032" w:rsidP="00633032">
      <w:pPr>
        <w:widowControl w:val="0"/>
        <w:rPr>
          <w:rFonts w:cs="Arial"/>
          <w14:ligatures w14:val="none"/>
        </w:rPr>
      </w:pPr>
      <w:r>
        <w:rPr>
          <w:rFonts w:cs="Arial"/>
          <w14:ligatures w14:val="none"/>
        </w:rPr>
        <w:t> </w:t>
      </w:r>
    </w:p>
    <w:p w:rsidR="00633032" w:rsidRDefault="00633032" w:rsidP="00633032">
      <w:pPr>
        <w:widowControl w:val="0"/>
        <w:rPr>
          <w:rFonts w:cs="Arial"/>
          <w14:ligatures w14:val="none"/>
        </w:rPr>
      </w:pPr>
      <w:r>
        <w:rPr>
          <w:rFonts w:cs="Arial"/>
          <w14:ligatures w14:val="none"/>
        </w:rPr>
        <w:t xml:space="preserve">Each state and U.S. territory is required to maintain a SILC. SILCs develop a </w:t>
      </w:r>
      <w:proofErr w:type="gramStart"/>
      <w:r>
        <w:rPr>
          <w:rFonts w:cs="Arial"/>
          <w14:ligatures w14:val="none"/>
        </w:rPr>
        <w:t>three year</w:t>
      </w:r>
      <w:proofErr w:type="gramEnd"/>
      <w:r>
        <w:rPr>
          <w:rFonts w:cs="Arial"/>
          <w14:ligatures w14:val="none"/>
        </w:rPr>
        <w:t xml:space="preserve"> strategic plan that creates a unified vision for the state on how to address barriers to independent living and other issues impacting people with disabilities. </w:t>
      </w:r>
    </w:p>
    <w:p w:rsidR="00583A47" w:rsidRDefault="00583A47" w:rsidP="00633032">
      <w:pPr>
        <w:widowControl w:val="0"/>
        <w:rPr>
          <w:rFonts w:cs="Arial"/>
          <w14:ligatures w14:val="none"/>
        </w:rPr>
      </w:pPr>
    </w:p>
    <w:p w:rsidR="00583A47" w:rsidRPr="00583A47" w:rsidRDefault="00583A47" w:rsidP="00583A47">
      <w:pPr>
        <w:widowControl w:val="0"/>
        <w:jc w:val="center"/>
        <w:rPr>
          <w:rFonts w:cs="Arial"/>
          <w14:ligatures w14:val="none"/>
        </w:rPr>
      </w:pPr>
      <w:r>
        <w:rPr>
          <w:rFonts w:cs="Arial"/>
          <w14:ligatures w14:val="none"/>
        </w:rPr>
        <w:t xml:space="preserve">America is home to: </w:t>
      </w:r>
      <w:r w:rsidRPr="00583A47">
        <w:rPr>
          <w:rFonts w:cs="Arial"/>
          <w:sz w:val="28"/>
          <w:szCs w:val="28"/>
          <w14:ligatures w14:val="none"/>
        </w:rPr>
        <w:t>403</w:t>
      </w:r>
      <w:r>
        <w:rPr>
          <w:rFonts w:cs="Arial"/>
          <w14:ligatures w14:val="none"/>
        </w:rPr>
        <w:t xml:space="preserve"> CILs </w:t>
      </w:r>
      <w:r>
        <w:rPr>
          <w:rFonts w:ascii="MS Gothic" w:eastAsia="MS Gothic" w:hAnsi="MS Gothic" w:cs="Arial" w:hint="eastAsia"/>
          <w14:ligatures w14:val="none"/>
        </w:rPr>
        <w:t xml:space="preserve">· </w:t>
      </w:r>
      <w:r w:rsidRPr="00583A47">
        <w:rPr>
          <w:rFonts w:cs="Arial"/>
          <w:sz w:val="28"/>
          <w:szCs w:val="28"/>
          <w14:ligatures w14:val="none"/>
        </w:rPr>
        <w:t>330</w:t>
      </w:r>
      <w:r>
        <w:rPr>
          <w:rFonts w:cs="Arial"/>
          <w14:ligatures w14:val="none"/>
        </w:rPr>
        <w:t xml:space="preserve"> Branch Offices </w:t>
      </w:r>
      <w:r>
        <w:rPr>
          <w:rFonts w:ascii="MS Gothic" w:eastAsia="MS Gothic" w:hAnsi="MS Gothic" w:cs="Arial" w:hint="eastAsia"/>
          <w14:ligatures w14:val="none"/>
        </w:rPr>
        <w:t xml:space="preserve">· </w:t>
      </w:r>
      <w:r w:rsidRPr="00583A47">
        <w:rPr>
          <w:rFonts w:cs="Arial"/>
          <w:sz w:val="28"/>
          <w:szCs w:val="28"/>
          <w14:ligatures w14:val="none"/>
        </w:rPr>
        <w:t>56</w:t>
      </w:r>
      <w:r>
        <w:rPr>
          <w:rFonts w:cs="Arial"/>
          <w14:ligatures w14:val="none"/>
        </w:rPr>
        <w:t xml:space="preserve"> SILCs</w:t>
      </w:r>
    </w:p>
    <w:p w:rsidR="00633032" w:rsidRDefault="00633032" w:rsidP="00633032">
      <w:pPr>
        <w:widowControl w:val="0"/>
        <w:rPr>
          <w:rFonts w:cs="Arial"/>
          <w14:ligatures w14:val="none"/>
        </w:rPr>
      </w:pPr>
      <w:r>
        <w:rPr>
          <w:rFonts w:cs="Arial"/>
          <w14:ligatures w14:val="none"/>
        </w:rPr>
        <w:t> </w:t>
      </w:r>
    </w:p>
    <w:p w:rsidR="00633032" w:rsidRPr="00633032" w:rsidRDefault="00633032" w:rsidP="00633032">
      <w:pPr>
        <w:widowControl w:val="0"/>
        <w:rPr>
          <w:rFonts w:cs="Arial"/>
          <w:sz w:val="32"/>
          <w:szCs w:val="32"/>
          <w14:ligatures w14:val="none"/>
        </w:rPr>
      </w:pPr>
      <w:r w:rsidRPr="00633032">
        <w:rPr>
          <w:rFonts w:cs="Arial"/>
          <w:sz w:val="32"/>
          <w:szCs w:val="32"/>
          <w14:ligatures w14:val="none"/>
        </w:rPr>
        <w:t>Department of Health and Human Services, Administration for Community Living (ACL)</w:t>
      </w:r>
    </w:p>
    <w:p w:rsidR="00633032" w:rsidRDefault="00633032" w:rsidP="00633032">
      <w:pPr>
        <w:widowControl w:val="0"/>
        <w:rPr>
          <w:rFonts w:cs="Arial"/>
          <w14:ligatures w14:val="none"/>
        </w:rPr>
      </w:pPr>
      <w:r>
        <w:rPr>
          <w:rFonts w:cs="Arial"/>
          <w14:ligatures w14:val="none"/>
        </w:rPr>
        <w:t> </w:t>
      </w:r>
    </w:p>
    <w:p w:rsidR="00633032" w:rsidRDefault="00633032" w:rsidP="00633032">
      <w:pPr>
        <w:widowControl w:val="0"/>
        <w:rPr>
          <w:rFonts w:cs="Arial"/>
          <w14:ligatures w14:val="none"/>
        </w:rPr>
      </w:pPr>
      <w:r>
        <w:rPr>
          <w:rFonts w:cs="Arial"/>
          <w14:ligatures w14:val="none"/>
        </w:rPr>
        <w:t>The Office of Independent Living Programs (OILP) within ACL is tasked with overseeing Independent Living agencies on a national level.</w:t>
      </w:r>
    </w:p>
    <w:p w:rsidR="00633032" w:rsidRDefault="00633032" w:rsidP="00633032">
      <w:pPr>
        <w:widowControl w:val="0"/>
        <w:rPr>
          <w:rFonts w:cs="Arial"/>
          <w14:ligatures w14:val="none"/>
        </w:rPr>
      </w:pPr>
      <w:r>
        <w:rPr>
          <w:rFonts w:cs="Arial"/>
          <w14:ligatures w14:val="none"/>
        </w:rPr>
        <w:t> </w:t>
      </w:r>
    </w:p>
    <w:p w:rsidR="00633032" w:rsidRPr="00633032" w:rsidRDefault="00633032" w:rsidP="00633032">
      <w:pPr>
        <w:widowControl w:val="0"/>
        <w:rPr>
          <w:rFonts w:cs="Arial"/>
          <w:sz w:val="32"/>
          <w:szCs w:val="32"/>
          <w14:ligatures w14:val="none"/>
        </w:rPr>
      </w:pPr>
      <w:r w:rsidRPr="00633032">
        <w:rPr>
          <w:rFonts w:cs="Arial"/>
          <w:sz w:val="32"/>
          <w:szCs w:val="32"/>
          <w14:ligatures w14:val="none"/>
        </w:rPr>
        <w:t>Founding Document: Title VII, Rehabilitation Act of 1973, as amended</w:t>
      </w:r>
    </w:p>
    <w:p w:rsidR="00633032" w:rsidRDefault="00633032" w:rsidP="00633032">
      <w:pPr>
        <w:widowControl w:val="0"/>
        <w:rPr>
          <w:rFonts w:cs="Arial"/>
          <w14:ligatures w14:val="none"/>
        </w:rPr>
      </w:pPr>
      <w:r>
        <w:rPr>
          <w:rFonts w:cs="Arial"/>
          <w14:ligatures w14:val="none"/>
        </w:rPr>
        <w:t> </w:t>
      </w:r>
    </w:p>
    <w:p w:rsidR="00633032" w:rsidRDefault="00633032" w:rsidP="00633032">
      <w:pPr>
        <w:widowControl w:val="0"/>
        <w:ind w:left="84"/>
        <w:rPr>
          <w:rFonts w:cs="Arial"/>
          <w14:ligatures w14:val="none"/>
        </w:rPr>
      </w:pPr>
      <w:r>
        <w:rPr>
          <w:rFonts w:cs="Arial"/>
          <w14:ligatures w14:val="none"/>
        </w:rPr>
        <w:t xml:space="preserve">There are two types of CIL funding: </w:t>
      </w:r>
    </w:p>
    <w:p w:rsidR="00633032" w:rsidRDefault="00633032" w:rsidP="00633032">
      <w:pPr>
        <w:widowControl w:val="0"/>
        <w:ind w:left="84"/>
        <w:rPr>
          <w:rFonts w:cs="Arial"/>
          <w14:ligatures w14:val="none"/>
        </w:rPr>
      </w:pPr>
      <w:r>
        <w:rPr>
          <w:rFonts w:cs="Arial"/>
          <w14:ligatures w14:val="none"/>
        </w:rPr>
        <w:t> </w:t>
      </w:r>
    </w:p>
    <w:p w:rsidR="00633032" w:rsidRDefault="00583A47" w:rsidP="00583A47">
      <w:pPr>
        <w:widowControl w:val="0"/>
        <w:rPr>
          <w:rFonts w:cs="Arial"/>
          <w14:ligatures w14:val="none"/>
        </w:rPr>
      </w:pPr>
      <w:r>
        <w:rPr>
          <w:rFonts w:cs="Arial"/>
          <w14:ligatures w14:val="none"/>
        </w:rPr>
        <w:t xml:space="preserve">1. </w:t>
      </w:r>
      <w:r w:rsidR="00633032" w:rsidRPr="00583A47">
        <w:rPr>
          <w:rFonts w:cs="Arial"/>
          <w14:ligatures w14:val="none"/>
        </w:rPr>
        <w:t>Subchapter B – Independent Living Services</w:t>
      </w:r>
      <w:r>
        <w:rPr>
          <w:rFonts w:cs="Arial"/>
          <w14:ligatures w14:val="none"/>
        </w:rPr>
        <w:tab/>
        <w:t xml:space="preserve">      2. </w:t>
      </w:r>
      <w:r w:rsidR="00633032" w:rsidRPr="00633032">
        <w:rPr>
          <w:rFonts w:cs="Arial"/>
          <w14:ligatures w14:val="none"/>
        </w:rPr>
        <w:t>Subchapter C –</w:t>
      </w:r>
      <w:r>
        <w:rPr>
          <w:rFonts w:cs="Arial"/>
          <w14:ligatures w14:val="none"/>
        </w:rPr>
        <w:t xml:space="preserve"> Centers for Independent Living</w:t>
      </w:r>
    </w:p>
    <w:p w:rsidR="0083668B" w:rsidRPr="002C19F0" w:rsidRDefault="0083668B" w:rsidP="002C19F0">
      <w:pPr>
        <w:pStyle w:val="Title"/>
        <w:jc w:val="right"/>
        <w:rPr>
          <w:sz w:val="16"/>
          <w:szCs w:val="16"/>
        </w:rPr>
      </w:pPr>
      <w:r>
        <w:rPr>
          <w:noProof/>
        </w:rPr>
        <w:lastRenderedPageBreak/>
        <w:drawing>
          <wp:anchor distT="0" distB="0" distL="114300" distR="114300" simplePos="0" relativeHeight="251673600" behindDoc="1" locked="0" layoutInCell="1" allowOverlap="1" wp14:anchorId="11D817A6" wp14:editId="2A0FF3BA">
            <wp:simplePos x="0" y="0"/>
            <wp:positionH relativeFrom="margin">
              <wp:posOffset>0</wp:posOffset>
            </wp:positionH>
            <wp:positionV relativeFrom="margin">
              <wp:posOffset>22860</wp:posOffset>
            </wp:positionV>
            <wp:extent cx="5171966" cy="1828800"/>
            <wp:effectExtent l="0" t="0" r="0" b="0"/>
            <wp:wrapNone/>
            <wp:docPr id="8" name="Picture 8" descr="5 for 5 Logo: 5 for 5: Fund Centers for Independent Living - 500 Million / 5 Core Services" title="5 for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for 5 Logo 2.jpg"/>
                    <pic:cNvPicPr/>
                  </pic:nvPicPr>
                  <pic:blipFill rotWithShape="1">
                    <a:blip r:embed="rId13" cstate="print">
                      <a:extLst>
                        <a:ext uri="{28A0092B-C50C-407E-A947-70E740481C1C}">
                          <a14:useLocalDpi xmlns:a14="http://schemas.microsoft.com/office/drawing/2010/main" val="0"/>
                        </a:ext>
                      </a:extLst>
                    </a:blip>
                    <a:srcRect l="4504" t="4673" b="6546"/>
                    <a:stretch/>
                  </pic:blipFill>
                  <pic:spPr bwMode="auto">
                    <a:xfrm>
                      <a:off x="0" y="0"/>
                      <a:ext cx="5171966"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668B">
        <w:rPr>
          <w:sz w:val="40"/>
          <w:szCs w:val="40"/>
        </w:rPr>
        <w:t>INDEPENDENT LIVING IN ACTION</w:t>
      </w:r>
    </w:p>
    <w:p w:rsidR="0083668B" w:rsidRDefault="0083668B" w:rsidP="0083668B"/>
    <w:p w:rsidR="0083668B" w:rsidRDefault="0083668B" w:rsidP="0083668B"/>
    <w:p w:rsidR="002C19F0" w:rsidRDefault="002C19F0" w:rsidP="0083668B"/>
    <w:p w:rsidR="002C19F0" w:rsidRDefault="002C19F0" w:rsidP="0083668B"/>
    <w:p w:rsidR="002C19F0" w:rsidRDefault="002C19F0" w:rsidP="0083668B"/>
    <w:p w:rsidR="002C19F0" w:rsidRDefault="002C19F0" w:rsidP="0083668B"/>
    <w:p w:rsidR="00B52856" w:rsidRDefault="00B52856" w:rsidP="0083668B"/>
    <w:p w:rsidR="00B52856" w:rsidRDefault="00B52856" w:rsidP="0083668B"/>
    <w:p w:rsidR="00B52856" w:rsidRDefault="00B52856" w:rsidP="0083668B"/>
    <w:p w:rsidR="00B52856" w:rsidRDefault="00B52856" w:rsidP="0083668B"/>
    <w:p w:rsidR="0083668B" w:rsidRDefault="0083668B" w:rsidP="0083668B">
      <w:r>
        <w:t xml:space="preserve">Centers for Independent Living provide holistic services that meet people with disabilities where they are and assist them during their journeys to achieve self-defined goals. These are their stories. </w:t>
      </w:r>
    </w:p>
    <w:p w:rsidR="0083668B" w:rsidRDefault="00B52856" w:rsidP="0083668B">
      <w:r>
        <w:rPr>
          <w:noProof/>
        </w:rPr>
        <w:drawing>
          <wp:anchor distT="0" distB="0" distL="114300" distR="114300" simplePos="0" relativeHeight="251668480" behindDoc="0" locked="0" layoutInCell="1" allowOverlap="1" wp14:anchorId="4105F7CB" wp14:editId="1CFFFCB1">
            <wp:simplePos x="0" y="0"/>
            <wp:positionH relativeFrom="margin">
              <wp:posOffset>0</wp:posOffset>
            </wp:positionH>
            <wp:positionV relativeFrom="margin">
              <wp:posOffset>4848860</wp:posOffset>
            </wp:positionV>
            <wp:extent cx="548640" cy="548640"/>
            <wp:effectExtent l="0" t="0" r="3810" b="3810"/>
            <wp:wrapSquare wrapText="bothSides"/>
            <wp:docPr id="10" name="Picture 10" descr="KENNY Icon" title="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238DD2E4" wp14:editId="12E03E56">
            <wp:simplePos x="0" y="0"/>
            <wp:positionH relativeFrom="margin">
              <wp:posOffset>0</wp:posOffset>
            </wp:positionH>
            <wp:positionV relativeFrom="margin">
              <wp:posOffset>2435225</wp:posOffset>
            </wp:positionV>
            <wp:extent cx="548640" cy="548640"/>
            <wp:effectExtent l="0" t="0" r="3810" b="3810"/>
            <wp:wrapSquare wrapText="bothSides"/>
            <wp:docPr id="9" name="Picture 9" descr="SHAYA Icon" title="SH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rsidR="0083668B" w:rsidRPr="00B52856" w:rsidRDefault="0083668B" w:rsidP="00B52856">
      <w:pPr>
        <w:rPr>
          <w:sz w:val="40"/>
          <w:szCs w:val="40"/>
        </w:rPr>
      </w:pPr>
      <w:r w:rsidRPr="00B52856">
        <w:rPr>
          <w:sz w:val="40"/>
          <w:szCs w:val="40"/>
        </w:rPr>
        <w:t>SHAYA</w:t>
      </w:r>
    </w:p>
    <w:p w:rsidR="0083668B" w:rsidRPr="00C12DFB" w:rsidRDefault="0083668B" w:rsidP="0083668B"/>
    <w:p w:rsidR="0083668B" w:rsidRPr="00C12DFB" w:rsidRDefault="0083668B" w:rsidP="0083668B">
      <w:proofErr w:type="spellStart"/>
      <w:r w:rsidRPr="00705969">
        <w:t>Shaya</w:t>
      </w:r>
      <w:proofErr w:type="spellEnd"/>
      <w:r w:rsidRPr="00C12DFB">
        <w:t xml:space="preserve"> was living in a nursing facility for three years after a car accident result</w:t>
      </w:r>
      <w:r>
        <w:t>ed</w:t>
      </w:r>
      <w:r w:rsidRPr="00C12DFB">
        <w:t xml:space="preserve"> in a traumatic brain injury as well as a persistent mobility disability affecting her ability to walk. After rehabilitation,</w:t>
      </w:r>
      <w:r>
        <w:t xml:space="preserve"> it </w:t>
      </w:r>
      <w:r w:rsidRPr="00C12DFB">
        <w:t xml:space="preserve">was </w:t>
      </w:r>
      <w:r>
        <w:t xml:space="preserve">not considered </w:t>
      </w:r>
      <w:r w:rsidRPr="00C12DFB">
        <w:t xml:space="preserve">safe </w:t>
      </w:r>
      <w:r>
        <w:t xml:space="preserve">for her to be </w:t>
      </w:r>
      <w:r w:rsidRPr="00C12DFB">
        <w:t>discharge</w:t>
      </w:r>
      <w:r>
        <w:t>d</w:t>
      </w:r>
      <w:r w:rsidRPr="00C12DFB">
        <w:t xml:space="preserve"> </w:t>
      </w:r>
      <w:r>
        <w:t>since</w:t>
      </w:r>
      <w:r w:rsidRPr="00C12DFB">
        <w:t xml:space="preserve"> her apartment was not accessible. </w:t>
      </w:r>
      <w:proofErr w:type="spellStart"/>
      <w:r w:rsidRPr="00C12DFB">
        <w:t>Shaya</w:t>
      </w:r>
      <w:proofErr w:type="spellEnd"/>
      <w:r w:rsidRPr="00C12DFB">
        <w:t xml:space="preserve"> needed an accessible apartment, some in</w:t>
      </w:r>
      <w:r>
        <w:t>-</w:t>
      </w:r>
      <w:r w:rsidRPr="00C12DFB">
        <w:t xml:space="preserve">home care, and some assistive tools to help her live independently. </w:t>
      </w:r>
      <w:r>
        <w:t>The CIL provided assistance securing these supports.</w:t>
      </w:r>
    </w:p>
    <w:p w:rsidR="0083668B" w:rsidRPr="00C12DFB" w:rsidRDefault="0083668B" w:rsidP="0083668B"/>
    <w:p w:rsidR="0083668B" w:rsidRPr="00C12DFB" w:rsidRDefault="0083668B" w:rsidP="0083668B">
      <w:r w:rsidRPr="00C12DFB">
        <w:t xml:space="preserve">It has now been more than six months since </w:t>
      </w:r>
      <w:proofErr w:type="spellStart"/>
      <w:r w:rsidRPr="00C12DFB">
        <w:t>Shaya’s</w:t>
      </w:r>
      <w:proofErr w:type="spellEnd"/>
      <w:r w:rsidRPr="00C12DFB">
        <w:t xml:space="preserve"> transition </w:t>
      </w:r>
      <w:r>
        <w:t xml:space="preserve">to the community </w:t>
      </w:r>
      <w:r w:rsidRPr="00C12DFB">
        <w:t>and she is still living in her own home, her family providing support and happy that she can go out with friends who</w:t>
      </w:r>
      <w:r>
        <w:t>m</w:t>
      </w:r>
      <w:r w:rsidRPr="00C12DFB">
        <w:t xml:space="preserve"> she had not seen in years. </w:t>
      </w:r>
      <w:r>
        <w:t>CIL</w:t>
      </w:r>
      <w:r w:rsidRPr="00C12DFB">
        <w:t xml:space="preserve"> staff keep in touch with </w:t>
      </w:r>
      <w:proofErr w:type="spellStart"/>
      <w:r w:rsidRPr="00C12DFB">
        <w:t>Shaya</w:t>
      </w:r>
      <w:proofErr w:type="spellEnd"/>
      <w:r w:rsidRPr="00C12DFB">
        <w:t xml:space="preserve"> to make sure that she is still doing well and </w:t>
      </w:r>
      <w:r>
        <w:t xml:space="preserve">to offer assistance if needed to maintain her independence. </w:t>
      </w:r>
    </w:p>
    <w:p w:rsidR="0083668B" w:rsidRDefault="0083668B" w:rsidP="0083668B"/>
    <w:p w:rsidR="0083668B" w:rsidRPr="00B52856" w:rsidRDefault="0083668B" w:rsidP="00B52856">
      <w:pPr>
        <w:rPr>
          <w:sz w:val="40"/>
          <w:szCs w:val="40"/>
        </w:rPr>
      </w:pPr>
      <w:r w:rsidRPr="00B52856">
        <w:rPr>
          <w:sz w:val="40"/>
          <w:szCs w:val="40"/>
        </w:rPr>
        <w:t>KENNY</w:t>
      </w:r>
    </w:p>
    <w:p w:rsidR="0083668B" w:rsidRPr="00C12DFB" w:rsidRDefault="0083668B" w:rsidP="0083668B"/>
    <w:p w:rsidR="0083668B" w:rsidRPr="00C12DFB" w:rsidRDefault="0083668B" w:rsidP="0083668B">
      <w:r w:rsidRPr="00705969">
        <w:t>Kenny</w:t>
      </w:r>
      <w:r w:rsidRPr="00C12DFB">
        <w:t xml:space="preserve">, is a young man who returned to his own home a year ago after an amputation had trapped him in a nursing facility. </w:t>
      </w:r>
    </w:p>
    <w:p w:rsidR="0083668B" w:rsidRPr="00C12DFB" w:rsidRDefault="0083668B" w:rsidP="0083668B"/>
    <w:p w:rsidR="0083668B" w:rsidRPr="00C12DFB" w:rsidRDefault="0083668B" w:rsidP="0083668B">
      <w:r w:rsidRPr="00C12DFB">
        <w:t>“I didn’t feel like I belonged there,” Kenny said about his time in the nursing facility. “I wanted to get out of there, but I didn’t know how I was going to live with my amputated leg. The CIL’s Peer Advocate told me about their struggles and what they did to deal with those challenges. It was helpful to tell them my story and brainstorm ideas of what I could do to feel more comfortable.”</w:t>
      </w:r>
    </w:p>
    <w:p w:rsidR="0083668B" w:rsidRPr="00C12DFB" w:rsidRDefault="0083668B" w:rsidP="0083668B"/>
    <w:p w:rsidR="0083668B" w:rsidRPr="00C12DFB" w:rsidRDefault="0083668B" w:rsidP="0083668B">
      <w:r w:rsidRPr="00C12DFB">
        <w:t xml:space="preserve">Kenny reached out to the CIL at the beginning of 2023 and asked about becoming a Peer Advocate himself. </w:t>
      </w:r>
      <w:r>
        <w:t xml:space="preserve">The CIL </w:t>
      </w:r>
      <w:r w:rsidRPr="00C12DFB">
        <w:t>encouraged him and believe</w:t>
      </w:r>
      <w:r>
        <w:t>s</w:t>
      </w:r>
      <w:r w:rsidRPr="00C12DFB">
        <w:t xml:space="preserve"> that he will be an incredible help to o</w:t>
      </w:r>
      <w:r>
        <w:t>thers</w:t>
      </w:r>
      <w:r w:rsidRPr="00C12DFB">
        <w:t xml:space="preserve">. </w:t>
      </w:r>
    </w:p>
    <w:p w:rsidR="0083668B" w:rsidRDefault="005D7633" w:rsidP="0083668B">
      <w:r>
        <w:rPr>
          <w:noProof/>
        </w:rPr>
        <w:drawing>
          <wp:anchor distT="0" distB="0" distL="114300" distR="114300" simplePos="0" relativeHeight="251669504" behindDoc="0" locked="0" layoutInCell="1" allowOverlap="1" wp14:anchorId="3FC423FC" wp14:editId="62A563F8">
            <wp:simplePos x="0" y="0"/>
            <wp:positionH relativeFrom="margin">
              <wp:posOffset>0</wp:posOffset>
            </wp:positionH>
            <wp:positionV relativeFrom="margin">
              <wp:posOffset>7235613</wp:posOffset>
            </wp:positionV>
            <wp:extent cx="548640" cy="548640"/>
            <wp:effectExtent l="0" t="0" r="3810" b="3810"/>
            <wp:wrapSquare wrapText="bothSides"/>
            <wp:docPr id="5" name="Picture 5" descr="GG Icon" titl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rsidR="0083668B" w:rsidRPr="005D7633" w:rsidRDefault="0083668B" w:rsidP="005D7633">
      <w:pPr>
        <w:rPr>
          <w:sz w:val="40"/>
          <w:szCs w:val="40"/>
        </w:rPr>
      </w:pPr>
      <w:r w:rsidRPr="005D7633">
        <w:rPr>
          <w:sz w:val="40"/>
          <w:szCs w:val="40"/>
        </w:rPr>
        <w:t>GG</w:t>
      </w:r>
    </w:p>
    <w:p w:rsidR="0083668B" w:rsidRPr="00C12DFB" w:rsidRDefault="0083668B" w:rsidP="0083668B"/>
    <w:p w:rsidR="0083668B" w:rsidRPr="00C12DFB" w:rsidRDefault="0083668B" w:rsidP="0083668B">
      <w:r w:rsidRPr="00705969">
        <w:t>GG</w:t>
      </w:r>
      <w:r w:rsidRPr="00C12DFB">
        <w:t xml:space="preserve"> was </w:t>
      </w:r>
      <w:r>
        <w:t xml:space="preserve">having difficulty advocating for himself </w:t>
      </w:r>
      <w:r w:rsidRPr="00C12DFB">
        <w:t>effectively with his Managed Care Organization (MCO) and his service coordinator. He had been without appropriate tran</w:t>
      </w:r>
      <w:r>
        <w:t xml:space="preserve">sportation because of his need for </w:t>
      </w:r>
      <w:r w:rsidRPr="00C12DFB">
        <w:t xml:space="preserve">a </w:t>
      </w:r>
      <w:r>
        <w:t>gurney</w:t>
      </w:r>
      <w:r w:rsidRPr="00C12DFB">
        <w:t xml:space="preserve"> and his service coordinator was not returning calls. The CIL Advocate used her resources with the MCO and held a 3-way call to demonstrate an example of using effective </w:t>
      </w:r>
      <w:r w:rsidRPr="00C12DFB">
        <w:lastRenderedPageBreak/>
        <w:t xml:space="preserve">communication </w:t>
      </w:r>
      <w:r>
        <w:t xml:space="preserve">for GG </w:t>
      </w:r>
      <w:r w:rsidRPr="00C12DFB">
        <w:t xml:space="preserve">to self-advocate. He now </w:t>
      </w:r>
      <w:r>
        <w:t xml:space="preserve">independently </w:t>
      </w:r>
      <w:r w:rsidRPr="00C12DFB">
        <w:t xml:space="preserve">advocates for appropriate transportation at </w:t>
      </w:r>
      <w:r>
        <w:t>the MCO</w:t>
      </w:r>
      <w:r w:rsidRPr="00C12DFB">
        <w:t xml:space="preserve"> advisory meetings and other state MCO meetings.</w:t>
      </w:r>
    </w:p>
    <w:p w:rsidR="0083668B" w:rsidRDefault="00B52856" w:rsidP="0083668B">
      <w:r>
        <w:rPr>
          <w:noProof/>
        </w:rPr>
        <w:drawing>
          <wp:anchor distT="0" distB="0" distL="114300" distR="114300" simplePos="0" relativeHeight="251678720" behindDoc="0" locked="0" layoutInCell="1" allowOverlap="1" wp14:anchorId="7DF910BC" wp14:editId="5703EEDC">
            <wp:simplePos x="0" y="0"/>
            <wp:positionH relativeFrom="margin">
              <wp:posOffset>0</wp:posOffset>
            </wp:positionH>
            <wp:positionV relativeFrom="margin">
              <wp:posOffset>421640</wp:posOffset>
            </wp:positionV>
            <wp:extent cx="548640" cy="548640"/>
            <wp:effectExtent l="0" t="0" r="3810" b="3810"/>
            <wp:wrapSquare wrapText="bothSides"/>
            <wp:docPr id="11" name="Picture 11" descr="SAM Icon" title="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rsidR="0083668B" w:rsidRPr="00B52856" w:rsidRDefault="0083668B" w:rsidP="00B52856">
      <w:pPr>
        <w:rPr>
          <w:sz w:val="40"/>
          <w:szCs w:val="40"/>
        </w:rPr>
      </w:pPr>
      <w:r w:rsidRPr="00B52856">
        <w:rPr>
          <w:sz w:val="40"/>
          <w:szCs w:val="40"/>
        </w:rPr>
        <w:t>SAM</w:t>
      </w:r>
    </w:p>
    <w:p w:rsidR="0083668B" w:rsidRDefault="0083668B" w:rsidP="0083668B"/>
    <w:p w:rsidR="0083668B" w:rsidRPr="00C12DFB" w:rsidRDefault="0083668B" w:rsidP="0083668B">
      <w:r w:rsidRPr="00705969">
        <w:t>Sam</w:t>
      </w:r>
      <w:r w:rsidRPr="00C12DFB">
        <w:t xml:space="preserve">, who </w:t>
      </w:r>
      <w:r>
        <w:t>is autistic and a member of the</w:t>
      </w:r>
      <w:r w:rsidRPr="00C12DFB">
        <w:t xml:space="preserve"> </w:t>
      </w:r>
      <w:r>
        <w:t xml:space="preserve">CIL’s </w:t>
      </w:r>
      <w:r w:rsidRPr="00C12DFB">
        <w:t>grassroots advocacy group, Wheels in Motion (WIM)</w:t>
      </w:r>
      <w:r>
        <w:t>,</w:t>
      </w:r>
      <w:r w:rsidRPr="00C12DFB">
        <w:t xml:space="preserve"> achieved her goal of obtaining a part time job. She had learned and practiced self-advocacy and group advocacy skills as part of WIM. She was recruited by the national advocacy group Self Advocates United as One to be a trained, paid self-advocate.</w:t>
      </w:r>
    </w:p>
    <w:p w:rsidR="0083668B" w:rsidRDefault="00B52856" w:rsidP="0083668B">
      <w:r>
        <w:rPr>
          <w:noProof/>
        </w:rPr>
        <w:drawing>
          <wp:anchor distT="0" distB="0" distL="114300" distR="114300" simplePos="0" relativeHeight="251671552" behindDoc="0" locked="0" layoutInCell="1" allowOverlap="1" wp14:anchorId="4CEF63C9" wp14:editId="16D3E526">
            <wp:simplePos x="0" y="0"/>
            <wp:positionH relativeFrom="margin">
              <wp:posOffset>0</wp:posOffset>
            </wp:positionH>
            <wp:positionV relativeFrom="margin">
              <wp:posOffset>1733762</wp:posOffset>
            </wp:positionV>
            <wp:extent cx="548640" cy="548640"/>
            <wp:effectExtent l="0" t="0" r="3810" b="3810"/>
            <wp:wrapSquare wrapText="bothSides"/>
            <wp:docPr id="12" name="Picture 12" descr="NICOLE Icon" title="NI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rsidR="0083668B" w:rsidRPr="00B52856" w:rsidRDefault="0083668B" w:rsidP="00B52856">
      <w:pPr>
        <w:rPr>
          <w:sz w:val="40"/>
          <w:szCs w:val="40"/>
        </w:rPr>
      </w:pPr>
      <w:r w:rsidRPr="00B52856">
        <w:rPr>
          <w:sz w:val="40"/>
          <w:szCs w:val="40"/>
        </w:rPr>
        <w:t>NICOLE</w:t>
      </w:r>
    </w:p>
    <w:p w:rsidR="0083668B" w:rsidRPr="00C12DFB" w:rsidRDefault="0083668B" w:rsidP="0083668B"/>
    <w:p w:rsidR="0083668B" w:rsidRPr="00C12DFB" w:rsidRDefault="0083668B" w:rsidP="0083668B">
      <w:r w:rsidRPr="00705969">
        <w:t>Nicole</w:t>
      </w:r>
      <w:r w:rsidRPr="00C12DFB">
        <w:t xml:space="preserve"> had just finished her bachelor’s degree and begun working when her local Vocational Rehabilitation office closed suddenly. </w:t>
      </w:r>
      <w:r>
        <w:t>After being transferred to another office, Nicole was f</w:t>
      </w:r>
      <w:r w:rsidRPr="00C12DFB">
        <w:t>aced with a new case worker determined to undermine her goal of pursuing a master’s degree</w:t>
      </w:r>
      <w:r>
        <w:t>. S</w:t>
      </w:r>
      <w:r w:rsidRPr="00C12DFB">
        <w:t xml:space="preserve">he turned to her CIL for help advocating for the services she needed to continue her education. </w:t>
      </w:r>
    </w:p>
    <w:p w:rsidR="0083668B" w:rsidRDefault="0083668B" w:rsidP="0083668B"/>
    <w:p w:rsidR="0083668B" w:rsidRPr="00C12DFB" w:rsidRDefault="0083668B" w:rsidP="0083668B">
      <w:r w:rsidRPr="00C12DFB">
        <w:t xml:space="preserve">Nicole completed her masters in six months with honors and credits the accommodations that resulted from successful advocacy. </w:t>
      </w:r>
    </w:p>
    <w:p w:rsidR="0083668B" w:rsidRDefault="0083668B" w:rsidP="0083668B"/>
    <w:p w:rsidR="0083668B" w:rsidRDefault="0083668B" w:rsidP="0083668B">
      <w:r w:rsidRPr="00C12DFB">
        <w:t>Vocational Rehabilitation continued denying Nicole assista</w:t>
      </w:r>
      <w:r>
        <w:t xml:space="preserve">nce to create a business plan. </w:t>
      </w:r>
      <w:r w:rsidRPr="00C12DFB">
        <w:t xml:space="preserve">Over the course of that year, Nicole wrote and published four books and did a </w:t>
      </w:r>
      <w:proofErr w:type="spellStart"/>
      <w:r w:rsidRPr="00C12DFB">
        <w:t>TEDx</w:t>
      </w:r>
      <w:proofErr w:type="spellEnd"/>
      <w:r w:rsidRPr="00C12DFB">
        <w:t xml:space="preserve"> talk (</w:t>
      </w:r>
      <w:hyperlink r:id="rId19" w:history="1">
        <w:r w:rsidRPr="00C12DFB">
          <w:rPr>
            <w:rStyle w:val="Hyperlink"/>
          </w:rPr>
          <w:t>http://bit.ly/3YkubUG</w:t>
        </w:r>
      </w:hyperlink>
      <w:r w:rsidRPr="00C12DFB">
        <w:t xml:space="preserve">), among other noteworthy accomplishments. Nicole then joined her state’s </w:t>
      </w:r>
      <w:r>
        <w:t>Statewide Independent Living Council</w:t>
      </w:r>
      <w:r w:rsidRPr="00C12DFB">
        <w:t xml:space="preserve">, where she was perfectly positioned to ask tough questions </w:t>
      </w:r>
      <w:r>
        <w:t>of</w:t>
      </w:r>
      <w:r w:rsidRPr="00C12DFB">
        <w:t xml:space="preserve"> </w:t>
      </w:r>
      <w:r>
        <w:t xml:space="preserve">the </w:t>
      </w:r>
      <w:r w:rsidRPr="00C12DFB">
        <w:t>Vocational Rehabilitation</w:t>
      </w:r>
      <w:r>
        <w:t xml:space="preserve"> agency</w:t>
      </w:r>
      <w:r w:rsidRPr="00C12DFB">
        <w:t xml:space="preserve">. </w:t>
      </w:r>
    </w:p>
    <w:p w:rsidR="0083668B" w:rsidRPr="00C12DFB" w:rsidRDefault="0083668B" w:rsidP="0083668B"/>
    <w:p w:rsidR="0083668B" w:rsidRPr="00C12DFB" w:rsidRDefault="0083668B" w:rsidP="0083668B">
      <w:r w:rsidRPr="00C12DFB">
        <w:t xml:space="preserve">Her CIL </w:t>
      </w:r>
      <w:r>
        <w:t>staff advocate</w:t>
      </w:r>
      <w:r w:rsidRPr="00C12DFB">
        <w:t>, Cathy, was there through it all. “She encourages me and keeps reminding what I have done and how hard I have worked; that it will happen. Cathy is a big factor in the success in my life. If all people with disabilities had access to CIL services, it would heal a lot of disability issues and give individuals the support they need</w:t>
      </w:r>
      <w:r>
        <w:t>.</w:t>
      </w:r>
      <w:r w:rsidRPr="00C12DFB">
        <w:t xml:space="preserve">” </w:t>
      </w:r>
    </w:p>
    <w:p w:rsidR="0083668B" w:rsidRDefault="00B52856" w:rsidP="0083668B">
      <w:r>
        <w:rPr>
          <w:noProof/>
        </w:rPr>
        <w:drawing>
          <wp:anchor distT="0" distB="0" distL="114300" distR="114300" simplePos="0" relativeHeight="251672576" behindDoc="0" locked="0" layoutInCell="1" allowOverlap="1" wp14:anchorId="5A0A8F16" wp14:editId="6220263E">
            <wp:simplePos x="0" y="0"/>
            <wp:positionH relativeFrom="margin">
              <wp:posOffset>0</wp:posOffset>
            </wp:positionH>
            <wp:positionV relativeFrom="margin">
              <wp:posOffset>5553710</wp:posOffset>
            </wp:positionV>
            <wp:extent cx="548640" cy="548640"/>
            <wp:effectExtent l="0" t="0" r="3810" b="3810"/>
            <wp:wrapSquare wrapText="bothSides"/>
            <wp:docPr id="13" name="Picture 13" descr="DESTINEY Icon" title="DESTI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rsidR="0083668B" w:rsidRPr="00B52856" w:rsidRDefault="0083668B" w:rsidP="00B52856">
      <w:pPr>
        <w:rPr>
          <w:sz w:val="40"/>
          <w:szCs w:val="40"/>
        </w:rPr>
      </w:pPr>
      <w:r w:rsidRPr="00B52856">
        <w:rPr>
          <w:sz w:val="40"/>
          <w:szCs w:val="40"/>
        </w:rPr>
        <w:t>DESTINEY</w:t>
      </w:r>
    </w:p>
    <w:p w:rsidR="0083668B" w:rsidRPr="00C12DFB" w:rsidRDefault="0083668B" w:rsidP="0083668B"/>
    <w:p w:rsidR="0083668B" w:rsidRPr="00C12DFB" w:rsidRDefault="0083668B" w:rsidP="0083668B">
      <w:r w:rsidRPr="00705969">
        <w:t>Destiney</w:t>
      </w:r>
      <w:r w:rsidRPr="00C12DFB">
        <w:t xml:space="preserve"> is a 23-year-old woman with multiple disabilities. She had been fighting </w:t>
      </w:r>
      <w:r>
        <w:t xml:space="preserve">with her half-sister </w:t>
      </w:r>
      <w:r w:rsidRPr="00C12DFB">
        <w:t>to maintain custody of her 3-year old son.</w:t>
      </w:r>
      <w:r>
        <w:t xml:space="preserve"> The half-sister was </w:t>
      </w:r>
      <w:r w:rsidRPr="00C12DFB">
        <w:t xml:space="preserve">threatening that DHS would take her son away from her if she did not let her half-sister have him. Destiney felt it was because her family did not think she could care for her son because she was disabled. </w:t>
      </w:r>
    </w:p>
    <w:p w:rsidR="0083668B" w:rsidRDefault="0083668B" w:rsidP="0083668B"/>
    <w:p w:rsidR="0083668B" w:rsidRDefault="0083668B" w:rsidP="0083668B">
      <w:r w:rsidRPr="00C12DFB">
        <w:t xml:space="preserve">The CIL advocated for Destiney through her court proceedings regarding her rights as a parent and ability to care for her son. </w:t>
      </w:r>
    </w:p>
    <w:p w:rsidR="0083668B" w:rsidRPr="00C12DFB" w:rsidRDefault="0083668B" w:rsidP="0083668B"/>
    <w:p w:rsidR="0083668B" w:rsidRDefault="0083668B" w:rsidP="0083668B">
      <w:r w:rsidRPr="00C12DFB">
        <w:t xml:space="preserve">Destiney successfully </w:t>
      </w:r>
      <w:r>
        <w:t>maintained</w:t>
      </w:r>
      <w:r w:rsidRPr="00C12DFB">
        <w:t xml:space="preserve"> custody of her son</w:t>
      </w:r>
      <w:r>
        <w:t>, who lives</w:t>
      </w:r>
      <w:r w:rsidRPr="00C12DFB">
        <w:t xml:space="preserve"> </w:t>
      </w:r>
      <w:r>
        <w:t xml:space="preserve">with her </w:t>
      </w:r>
      <w:r w:rsidRPr="00C12DFB">
        <w:t xml:space="preserve">in </w:t>
      </w:r>
      <w:r>
        <w:t>their</w:t>
      </w:r>
      <w:r w:rsidRPr="00C12DFB">
        <w:t xml:space="preserve"> new home. She</w:t>
      </w:r>
      <w:r>
        <w:t xml:space="preserve"> makes her own choices and </w:t>
      </w:r>
      <w:r w:rsidRPr="00C12DFB">
        <w:t>liv</w:t>
      </w:r>
      <w:r>
        <w:t>es</w:t>
      </w:r>
      <w:r w:rsidRPr="00C12DFB">
        <w:t xml:space="preserve"> independently with services in place. She now has opportunities and the freedom to socialize within her community as much as she like</w:t>
      </w:r>
      <w:r>
        <w:t>s</w:t>
      </w:r>
      <w:r w:rsidRPr="00C12DFB">
        <w:t>!</w:t>
      </w:r>
    </w:p>
    <w:p w:rsidR="0083668B" w:rsidRPr="009271E8" w:rsidRDefault="00B52856" w:rsidP="0083668B">
      <w:pPr>
        <w:rPr>
          <w:sz w:val="48"/>
          <w:szCs w:val="48"/>
        </w:rPr>
      </w:pPr>
      <w:r>
        <w:rPr>
          <w:noProof/>
        </w:rPr>
        <w:drawing>
          <wp:anchor distT="0" distB="0" distL="114300" distR="114300" simplePos="0" relativeHeight="251674624" behindDoc="1" locked="0" layoutInCell="1" allowOverlap="1" wp14:anchorId="0667FDE8" wp14:editId="5E84578A">
            <wp:simplePos x="0" y="0"/>
            <wp:positionH relativeFrom="margin">
              <wp:posOffset>1486535</wp:posOffset>
            </wp:positionH>
            <wp:positionV relativeFrom="margin">
              <wp:posOffset>8290348</wp:posOffset>
            </wp:positionV>
            <wp:extent cx="618490" cy="457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IL Logo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8490" cy="457200"/>
                    </a:xfrm>
                    <a:prstGeom prst="rect">
                      <a:avLst/>
                    </a:prstGeom>
                  </pic:spPr>
                </pic:pic>
              </a:graphicData>
            </a:graphic>
            <wp14:sizeRelH relativeFrom="page">
              <wp14:pctWidth>0</wp14:pctWidth>
            </wp14:sizeRelH>
            <wp14:sizeRelV relativeFrom="page">
              <wp14:pctHeight>0</wp14:pctHeight>
            </wp14:sizeRelV>
          </wp:anchor>
        </w:drawing>
      </w:r>
    </w:p>
    <w:p w:rsidR="0083668B" w:rsidRPr="00C12DFB" w:rsidRDefault="0083668B" w:rsidP="002C19F0">
      <w:r w:rsidRPr="00A4107B">
        <w:t>5for5campaign.com</w:t>
      </w:r>
      <w:r w:rsidRPr="00A4107B">
        <w:tab/>
      </w:r>
      <w:r w:rsidRPr="00A4107B">
        <w:tab/>
      </w:r>
      <w:r>
        <w:t xml:space="preserve">    </w:t>
      </w:r>
      <w:r w:rsidR="002C19F0">
        <w:tab/>
      </w:r>
      <w:r w:rsidRPr="00A4107B">
        <w:t>Questions: contact Jessica Podesva at jessica@ncil.org</w:t>
      </w:r>
    </w:p>
    <w:p w:rsidR="005464DD" w:rsidRDefault="005464DD" w:rsidP="005464DD">
      <w:pPr>
        <w:pStyle w:val="Heading1"/>
      </w:pPr>
      <w:bookmarkStart w:id="2" w:name="_Toc138791493"/>
      <w:r>
        <w:lastRenderedPageBreak/>
        <w:t>Priority 2: End the Institutional Bias</w:t>
      </w:r>
      <w:bookmarkEnd w:id="2"/>
    </w:p>
    <w:p w:rsidR="00BA5163" w:rsidRPr="00A271E9" w:rsidRDefault="00BA5163" w:rsidP="00A271E9">
      <w:pPr>
        <w:pStyle w:val="Heading2"/>
      </w:pPr>
      <w:bookmarkStart w:id="3" w:name="_Toc138791494"/>
      <w:r w:rsidRPr="00A271E9">
        <w:t>Pass the HCBS Access Act and Better Care Better Jobs Act</w:t>
      </w:r>
      <w:bookmarkEnd w:id="3"/>
    </w:p>
    <w:p w:rsidR="00BA5163" w:rsidRPr="00BA5163" w:rsidRDefault="007F4717" w:rsidP="007F4717">
      <w:pPr>
        <w:jc w:val="center"/>
      </w:pPr>
      <w:r>
        <w:rPr>
          <w:noProof/>
          <w14:ligatures w14:val="none"/>
        </w:rPr>
        <w:drawing>
          <wp:inline distT="0" distB="0" distL="0" distR="0">
            <wp:extent cx="4390390" cy="1371600"/>
            <wp:effectExtent l="0" t="0" r="0" b="0"/>
            <wp:docPr id="15" name="Picture 15" descr="Our Homes, not Nursing Homes Logo: Home with he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UR HOMES (8 × 2.5 i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90390" cy="1371600"/>
                    </a:xfrm>
                    <a:prstGeom prst="rect">
                      <a:avLst/>
                    </a:prstGeom>
                  </pic:spPr>
                </pic:pic>
              </a:graphicData>
            </a:graphic>
          </wp:inline>
        </w:drawing>
      </w:r>
    </w:p>
    <w:p w:rsidR="00BA5163" w:rsidRPr="00BA5163" w:rsidRDefault="00BA5163" w:rsidP="00BA5163">
      <w:r w:rsidRPr="00BA5163">
        <w:t>NCIL is committed to advocating to end the institutional bias and improve access to consumer-controlled home and community-based services for people with disabilities and older adults. One of the core services of Centers for Independent Living is to help transition people from institutional settings but many consumers struggle to obtain all the HCBS services they need.</w:t>
      </w:r>
    </w:p>
    <w:p w:rsidR="00BA5163" w:rsidRPr="00BA5163" w:rsidRDefault="00BA5163" w:rsidP="00BA5163"/>
    <w:p w:rsidR="00BA5163" w:rsidRPr="00BA5163" w:rsidRDefault="00BA5163" w:rsidP="00BA5163">
      <w:r w:rsidRPr="00BA5163">
        <w:t xml:space="preserve">People with disabilities who are eligible for Medicaid long term services and supports or LTSS and require assistance with their activities of daily living (bathing, dressing, eating, etc.) currently have immediate access to institutional settings such as nursing homes but if they want to remain in their homes with the help of Medicaid Home and Community-Based Services (HCBS), they are often put on waiting lists and can wait years or even decades for services and supports to live independently in their community.  </w:t>
      </w:r>
    </w:p>
    <w:p w:rsidR="00BA5163" w:rsidRPr="00BA5163" w:rsidRDefault="00BA5163" w:rsidP="00BA5163"/>
    <w:p w:rsidR="003B2305" w:rsidRDefault="00BA5163" w:rsidP="003B2305">
      <w:r w:rsidRPr="00BA5163">
        <w:t>Currently the HCBS Access Act (</w:t>
      </w:r>
      <w:r>
        <w:t>H.R.</w:t>
      </w:r>
      <w:r w:rsidRPr="00BA5163">
        <w:t xml:space="preserve"> 1493 and S 762) and Better Care Better Jobs Act (</w:t>
      </w:r>
      <w:r>
        <w:t>H.R.</w:t>
      </w:r>
      <w:r w:rsidRPr="00BA5163">
        <w:t xml:space="preserve"> 547 and S 100) are two critical pieces of legislation that will help end this institutional bias and make substantial improvements to the home and commun</w:t>
      </w:r>
      <w:r w:rsidR="003B2305">
        <w:t xml:space="preserve">ity-based services work force. </w:t>
      </w:r>
    </w:p>
    <w:p w:rsidR="003B2305" w:rsidRPr="00BA5163" w:rsidRDefault="003B2305" w:rsidP="00BA5163"/>
    <w:p w:rsidR="00BA5163" w:rsidRPr="00BA5163" w:rsidRDefault="00BA5163" w:rsidP="00BA5163">
      <w:r w:rsidRPr="00BA5163">
        <w:t xml:space="preserve">For more information on the HCBS Access Act: </w:t>
      </w:r>
    </w:p>
    <w:p w:rsidR="00BA5163" w:rsidRDefault="00BA5163" w:rsidP="00BA5163"/>
    <w:p w:rsidR="00BA5163" w:rsidRPr="00BA5163" w:rsidRDefault="00BA5163" w:rsidP="00BD5A62">
      <w:pPr>
        <w:pStyle w:val="ListParagraph"/>
        <w:numPr>
          <w:ilvl w:val="0"/>
          <w:numId w:val="10"/>
        </w:numPr>
        <w:spacing w:after="240"/>
        <w:contextualSpacing w:val="0"/>
      </w:pPr>
      <w:r w:rsidRPr="00BA5163">
        <w:t xml:space="preserve">Full Text Senate: </w:t>
      </w:r>
      <w:hyperlink r:id="rId23" w:history="1">
        <w:r w:rsidR="00BB4A96">
          <w:rPr>
            <w:rStyle w:val="Hyperlink"/>
          </w:rPr>
          <w:t>https://bit.ly/3CBRxvL</w:t>
        </w:r>
      </w:hyperlink>
    </w:p>
    <w:p w:rsidR="00BA5163" w:rsidRPr="00BA5163" w:rsidRDefault="00BA5163" w:rsidP="00BD5A62">
      <w:pPr>
        <w:pStyle w:val="ListParagraph"/>
        <w:numPr>
          <w:ilvl w:val="0"/>
          <w:numId w:val="10"/>
        </w:numPr>
        <w:spacing w:after="240"/>
        <w:contextualSpacing w:val="0"/>
      </w:pPr>
      <w:r w:rsidRPr="00BA5163">
        <w:t xml:space="preserve">Full Text House: </w:t>
      </w:r>
      <w:hyperlink r:id="rId24" w:history="1">
        <w:r w:rsidR="00BB4A96" w:rsidRPr="00D145DF">
          <w:rPr>
            <w:rStyle w:val="Hyperlink"/>
          </w:rPr>
          <w:t>https://bit.ly/3qPJk4B</w:t>
        </w:r>
      </w:hyperlink>
      <w:r w:rsidR="00BB4A96">
        <w:t xml:space="preserve"> </w:t>
      </w:r>
    </w:p>
    <w:p w:rsidR="00BA5163" w:rsidRPr="00BA5163" w:rsidRDefault="007F4717" w:rsidP="00BB4A96">
      <w:pPr>
        <w:pStyle w:val="ListParagraph"/>
        <w:numPr>
          <w:ilvl w:val="0"/>
          <w:numId w:val="10"/>
        </w:numPr>
      </w:pPr>
      <w:r>
        <w:rPr>
          <w:noProof/>
          <w14:ligatures w14:val="none"/>
        </w:rPr>
        <w:drawing>
          <wp:anchor distT="0" distB="0" distL="114300" distR="114300" simplePos="0" relativeHeight="251679744" behindDoc="0" locked="0" layoutInCell="1" allowOverlap="1" wp14:anchorId="0C5139BC" wp14:editId="2320A51C">
            <wp:simplePos x="0" y="0"/>
            <wp:positionH relativeFrom="margin">
              <wp:posOffset>3035300</wp:posOffset>
            </wp:positionH>
            <wp:positionV relativeFrom="margin">
              <wp:posOffset>6172200</wp:posOffset>
            </wp:positionV>
            <wp:extent cx="3963035" cy="2285365"/>
            <wp:effectExtent l="0" t="0" r="0" b="635"/>
            <wp:wrapSquare wrapText="bothSides"/>
            <wp:docPr id="16" name="Picture 16" descr="Business Card: Jessica Podesva, J.D. - Director of Advocacy and Public Policy, National Council on Independent Living (NCIL). 202-207-0334 / jessica@ncil.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essica Business Car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63035" cy="2285365"/>
                    </a:xfrm>
                    <a:prstGeom prst="rect">
                      <a:avLst/>
                    </a:prstGeom>
                  </pic:spPr>
                </pic:pic>
              </a:graphicData>
            </a:graphic>
            <wp14:sizeRelH relativeFrom="margin">
              <wp14:pctWidth>0</wp14:pctWidth>
            </wp14:sizeRelH>
            <wp14:sizeRelV relativeFrom="margin">
              <wp14:pctHeight>0</wp14:pctHeight>
            </wp14:sizeRelV>
          </wp:anchor>
        </w:drawing>
      </w:r>
      <w:r w:rsidR="00BA5163" w:rsidRPr="00BA5163">
        <w:t xml:space="preserve">One Pager: </w:t>
      </w:r>
      <w:hyperlink r:id="rId26" w:history="1">
        <w:r w:rsidR="00BB4A96" w:rsidRPr="00D145DF">
          <w:rPr>
            <w:rStyle w:val="Hyperlink"/>
          </w:rPr>
          <w:t>https://bit.ly/3CRGn6l</w:t>
        </w:r>
      </w:hyperlink>
      <w:r w:rsidR="00BB4A96">
        <w:t xml:space="preserve"> </w:t>
      </w:r>
    </w:p>
    <w:p w:rsidR="00BB4A96" w:rsidRDefault="00BB4A96" w:rsidP="00BB4A96"/>
    <w:p w:rsidR="00BA5163" w:rsidRDefault="00BA5163" w:rsidP="00BB4A96">
      <w:r w:rsidRPr="00BA5163">
        <w:t xml:space="preserve">For more information on the Better Care Better Jobs Act: </w:t>
      </w:r>
    </w:p>
    <w:p w:rsidR="00BB4A96" w:rsidRPr="00BA5163" w:rsidRDefault="00BB4A96" w:rsidP="00BB4A96"/>
    <w:p w:rsidR="00BB4A96" w:rsidRDefault="00BA5163" w:rsidP="00BD5A62">
      <w:pPr>
        <w:pStyle w:val="ListParagraph"/>
        <w:numPr>
          <w:ilvl w:val="0"/>
          <w:numId w:val="10"/>
        </w:numPr>
        <w:spacing w:after="240"/>
        <w:contextualSpacing w:val="0"/>
      </w:pPr>
      <w:r w:rsidRPr="00BA5163">
        <w:t xml:space="preserve">Full Text Senate: </w:t>
      </w:r>
      <w:hyperlink r:id="rId27" w:history="1">
        <w:r w:rsidR="00BB4A96" w:rsidRPr="00D145DF">
          <w:rPr>
            <w:rStyle w:val="Hyperlink"/>
          </w:rPr>
          <w:t>https://bit.ly/3Pj0gdM</w:t>
        </w:r>
      </w:hyperlink>
    </w:p>
    <w:p w:rsidR="00BA5163" w:rsidRPr="00BA5163" w:rsidRDefault="00BA5163" w:rsidP="00BD5A62">
      <w:pPr>
        <w:pStyle w:val="ListParagraph"/>
        <w:numPr>
          <w:ilvl w:val="0"/>
          <w:numId w:val="10"/>
        </w:numPr>
        <w:spacing w:after="240"/>
        <w:contextualSpacing w:val="0"/>
      </w:pPr>
      <w:r w:rsidRPr="00BA5163">
        <w:t xml:space="preserve">Full Text House: </w:t>
      </w:r>
      <w:hyperlink r:id="rId28" w:history="1">
        <w:r w:rsidR="00BB4A96" w:rsidRPr="00D145DF">
          <w:rPr>
            <w:rStyle w:val="Hyperlink"/>
          </w:rPr>
          <w:t>https://bit.ly/3CzfLGN</w:t>
        </w:r>
      </w:hyperlink>
      <w:r w:rsidR="00BB4A96">
        <w:t xml:space="preserve"> </w:t>
      </w:r>
    </w:p>
    <w:p w:rsidR="00BA5163" w:rsidRPr="00BA5163" w:rsidRDefault="00BA5163" w:rsidP="00BB4A96">
      <w:pPr>
        <w:pStyle w:val="ListParagraph"/>
        <w:numPr>
          <w:ilvl w:val="0"/>
          <w:numId w:val="10"/>
        </w:numPr>
      </w:pPr>
      <w:r w:rsidRPr="00BA5163">
        <w:t xml:space="preserve">One Pager: </w:t>
      </w:r>
      <w:hyperlink r:id="rId29" w:history="1">
        <w:r w:rsidR="00BB4A96" w:rsidRPr="00D145DF">
          <w:rPr>
            <w:rStyle w:val="Hyperlink"/>
          </w:rPr>
          <w:t>https://bit.ly/43JcsZP</w:t>
        </w:r>
      </w:hyperlink>
      <w:r w:rsidR="00BB4A96">
        <w:t xml:space="preserve"> </w:t>
      </w:r>
    </w:p>
    <w:p w:rsidR="00BD5A62" w:rsidRDefault="00BD5A62">
      <w:pPr>
        <w:spacing w:after="160" w:line="259" w:lineRule="auto"/>
      </w:pPr>
      <w:r>
        <w:br w:type="page"/>
      </w:r>
    </w:p>
    <w:p w:rsidR="00BA5163" w:rsidRDefault="005464DD" w:rsidP="005464DD">
      <w:pPr>
        <w:pStyle w:val="Heading1"/>
      </w:pPr>
      <w:bookmarkStart w:id="4" w:name="_Toc138791495"/>
      <w:r>
        <w:lastRenderedPageBreak/>
        <w:t xml:space="preserve">Priority 3: </w:t>
      </w:r>
      <w:r w:rsidR="006C0627">
        <w:t>Support People with</w:t>
      </w:r>
      <w:r>
        <w:t xml:space="preserve"> Disabilities in </w:t>
      </w:r>
      <w:r w:rsidR="00BA5163">
        <w:t>Disasters</w:t>
      </w:r>
      <w:bookmarkEnd w:id="4"/>
    </w:p>
    <w:p w:rsidR="00BA5163" w:rsidRPr="00BA5163" w:rsidRDefault="00BA5163" w:rsidP="00BA5163"/>
    <w:p w:rsidR="00BA5163" w:rsidRPr="00BA5163" w:rsidRDefault="005464DD" w:rsidP="00D435DA">
      <w:pPr>
        <w:pStyle w:val="Heading2"/>
      </w:pPr>
      <w:bookmarkStart w:id="5" w:name="_Toc138791496"/>
      <w:r>
        <w:t xml:space="preserve">Pass the </w:t>
      </w:r>
      <w:r w:rsidR="00BA5163" w:rsidRPr="00BA5163">
        <w:t>Real Emergency Access for Aging and Disability Inclusion (REAADI) for Disasters Act</w:t>
      </w:r>
      <w:bookmarkEnd w:id="5"/>
    </w:p>
    <w:p w:rsidR="00BA5163" w:rsidRPr="00BA5163" w:rsidRDefault="003B2305" w:rsidP="00BA5163">
      <w:r w:rsidRPr="00BA5163">
        <w:rPr>
          <w:noProof/>
        </w:rPr>
        <w:drawing>
          <wp:anchor distT="0" distB="0" distL="114300" distR="114300" simplePos="0" relativeHeight="251659264" behindDoc="0" locked="0" layoutInCell="1" allowOverlap="1" wp14:anchorId="39ED9984" wp14:editId="6B2742C7">
            <wp:simplePos x="0" y="0"/>
            <wp:positionH relativeFrom="margin">
              <wp:posOffset>4092575</wp:posOffset>
            </wp:positionH>
            <wp:positionV relativeFrom="margin">
              <wp:posOffset>1694180</wp:posOffset>
            </wp:positionV>
            <wp:extent cx="2867992" cy="2834640"/>
            <wp:effectExtent l="0" t="0" r="0" b="0"/>
            <wp:wrapSquare wrapText="bothSides"/>
            <wp:docPr id="1" name="image1.png" descr="A sun with the words “Real Emergency Access for Aging and Disability Inclusion; S. 1049; H.R. 2371” around the sun. In the center of the sun is the text “REAADI for Disaster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sun with the words “Real Emergency Access for Aging and Disability Inclusion; S. 1049; H.R. 2371” around the sun. In the center of the sun is the text “REAADI for Disasters Act.”"/>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a:xfrm>
                      <a:off x="0" y="0"/>
                      <a:ext cx="2867992" cy="2834640"/>
                    </a:xfrm>
                    <a:prstGeom prst="rect">
                      <a:avLst/>
                    </a:prstGeom>
                    <a:ln/>
                  </pic:spPr>
                </pic:pic>
              </a:graphicData>
            </a:graphic>
            <wp14:sizeRelH relativeFrom="margin">
              <wp14:pctWidth>0</wp14:pctWidth>
            </wp14:sizeRelH>
            <wp14:sizeRelV relativeFrom="margin">
              <wp14:pctHeight>0</wp14:pctHeight>
            </wp14:sizeRelV>
          </wp:anchor>
        </w:drawing>
      </w:r>
    </w:p>
    <w:p w:rsidR="00BA5163" w:rsidRPr="00BA5163" w:rsidRDefault="00BA5163" w:rsidP="00BA5163">
      <w:r w:rsidRPr="00BA5163">
        <w:t>People with disabilities and older adults are two to four times more likely to die or be injured during a disaster than nondisabled people.</w:t>
      </w:r>
    </w:p>
    <w:p w:rsidR="00BA5163" w:rsidRPr="00BA5163" w:rsidRDefault="00BA5163" w:rsidP="00BA5163"/>
    <w:p w:rsidR="00BA5163" w:rsidRPr="00BA5163" w:rsidRDefault="00BA5163" w:rsidP="00BA5163">
      <w:r w:rsidRPr="00BA5163">
        <w:t>Current disaster infrastructure fails 61 million adults with disabilities and more than 55.8 million adults age 65 or older adults who live in the United States.</w:t>
      </w:r>
    </w:p>
    <w:p w:rsidR="00BA5163" w:rsidRPr="00BA5163" w:rsidRDefault="00BA5163" w:rsidP="00BA5163"/>
    <w:p w:rsidR="00BA5163" w:rsidRPr="00BA5163" w:rsidRDefault="00BA5163" w:rsidP="00BA5163">
      <w:r w:rsidRPr="00BA5163">
        <w:t>Disproportionate deaths and injuries are a result of barriers to emergency management services including disaster planning, critical evacuation information, accessible shelters and transportation, and recovery assistance.</w:t>
      </w:r>
    </w:p>
    <w:p w:rsidR="00BA5163" w:rsidRPr="00BA5163" w:rsidRDefault="00BA5163" w:rsidP="00BA5163"/>
    <w:p w:rsidR="00E5612A" w:rsidRDefault="00BA5163" w:rsidP="00BA5163">
      <w:r w:rsidRPr="00BA5163">
        <w:t xml:space="preserve">REAADI for Disasters Act is a bipartisan bill that fills the gaps in disaster preparedness. </w:t>
      </w:r>
    </w:p>
    <w:p w:rsidR="00E5612A" w:rsidRDefault="00E5612A" w:rsidP="00BA5163"/>
    <w:p w:rsidR="00BA5163" w:rsidRPr="00BA5163" w:rsidRDefault="00BA5163" w:rsidP="00BA5163">
      <w:r w:rsidRPr="00BA5163">
        <w:t>It takes meaningful legislative actions to ensure access to disaster resources and services for disabled people and older adults.</w:t>
      </w:r>
    </w:p>
    <w:p w:rsidR="00BA5163" w:rsidRPr="00BA5163" w:rsidRDefault="00BA5163" w:rsidP="00BA5163"/>
    <w:p w:rsidR="00BA5163" w:rsidRPr="00BA5163" w:rsidRDefault="005D7633" w:rsidP="007F4717">
      <w:pPr>
        <w:ind w:left="720"/>
      </w:pPr>
      <w:r>
        <w:rPr>
          <w:rFonts w:ascii="MS Gothic" w:eastAsia="MS Gothic" w:hAnsi="MS Gothic" w:hint="eastAsia"/>
          <w:color w:val="00B050"/>
        </w:rPr>
        <w:t xml:space="preserve">✔ </w:t>
      </w:r>
      <w:r w:rsidR="00BA5163" w:rsidRPr="00BA5163">
        <w:t>Bipartisan: REAADI was introduced in the Senate as S.1049 by Senator Casey (D-PA) and in the House of Representatives as H.R. 2371 by Congresswoman Dingell (D-MI-6) and Congressman Fitzpatrick (R-PA-1).</w:t>
      </w:r>
    </w:p>
    <w:p w:rsidR="00BA5163" w:rsidRPr="00BA5163" w:rsidRDefault="00BA5163" w:rsidP="007F4717">
      <w:pPr>
        <w:ind w:left="720"/>
      </w:pPr>
    </w:p>
    <w:p w:rsidR="00BA5163" w:rsidRPr="00BA5163" w:rsidRDefault="005D7633" w:rsidP="007F4717">
      <w:pPr>
        <w:ind w:left="720"/>
      </w:pPr>
      <w:r>
        <w:rPr>
          <w:rFonts w:ascii="MS Gothic" w:eastAsia="MS Gothic" w:hAnsi="MS Gothic" w:hint="eastAsia"/>
          <w:color w:val="00B050"/>
        </w:rPr>
        <w:t xml:space="preserve">✔ </w:t>
      </w:r>
      <w:r w:rsidR="00BA5163" w:rsidRPr="00BA5163">
        <w:t>Whole Community Resilience: REAADI for Disasters Act provides opportunities for people with disabilities, older adults, and disability-led organizations to provide guidance, technical assistance, and training for disaster preparedness, recovery, and response at local, regional, and national levels.</w:t>
      </w:r>
    </w:p>
    <w:p w:rsidR="00BA5163" w:rsidRPr="00BA5163" w:rsidRDefault="00BA5163" w:rsidP="007F4717">
      <w:pPr>
        <w:ind w:left="720"/>
      </w:pPr>
    </w:p>
    <w:p w:rsidR="00BA5163" w:rsidRPr="00BA5163" w:rsidRDefault="005D7633" w:rsidP="007F4717">
      <w:pPr>
        <w:ind w:left="720"/>
      </w:pPr>
      <w:r>
        <w:rPr>
          <w:rFonts w:ascii="MS Gothic" w:eastAsia="MS Gothic" w:hAnsi="MS Gothic" w:hint="eastAsia"/>
          <w:color w:val="00B050"/>
        </w:rPr>
        <w:t xml:space="preserve">✔ </w:t>
      </w:r>
      <w:r w:rsidR="00BA5163" w:rsidRPr="00BA5163">
        <w:t>Effective Use of Federal Disaster Dollars: REAADI for Disasters Act includes mechanisms to review and ensure all federal funds spent in disasters comply with accessibility and civil rights laws.</w:t>
      </w:r>
    </w:p>
    <w:p w:rsidR="00BA5163" w:rsidRPr="00BA5163" w:rsidRDefault="00BA5163" w:rsidP="00BA5163"/>
    <w:p w:rsidR="00E5612A" w:rsidRDefault="00BA5163" w:rsidP="00BA5163">
      <w:r w:rsidRPr="00BA5163">
        <w:t xml:space="preserve">Cosponsor REAADI today! </w:t>
      </w:r>
    </w:p>
    <w:p w:rsidR="00E5612A" w:rsidRDefault="00E5612A" w:rsidP="00BA5163"/>
    <w:p w:rsidR="00BA5163" w:rsidRPr="00BA5163" w:rsidRDefault="00BA5163" w:rsidP="00BA5163">
      <w:r w:rsidRPr="00BA5163">
        <w:t xml:space="preserve">Contact Michael </w:t>
      </w:r>
      <w:proofErr w:type="spellStart"/>
      <w:r w:rsidRPr="00BA5163">
        <w:t>Gamel</w:t>
      </w:r>
      <w:proofErr w:type="spellEnd"/>
      <w:r w:rsidRPr="00BA5163">
        <w:t xml:space="preserve">-McCormick at Michael_Gamel-McCormick@aging.senate.gov or Meg </w:t>
      </w:r>
      <w:proofErr w:type="spellStart"/>
      <w:r w:rsidRPr="00BA5163">
        <w:t>Makarewicz</w:t>
      </w:r>
      <w:proofErr w:type="spellEnd"/>
      <w:r w:rsidRPr="00BA5163">
        <w:t xml:space="preserve"> at </w:t>
      </w:r>
      <w:r w:rsidRPr="007F4717">
        <w:t>Makarewicz@mail.house.gov</w:t>
      </w:r>
      <w:r w:rsidR="00AC799A">
        <w:t>.</w:t>
      </w:r>
    </w:p>
    <w:p w:rsidR="007F4717" w:rsidRDefault="007F4717">
      <w:pPr>
        <w:spacing w:after="160" w:line="259" w:lineRule="auto"/>
      </w:pPr>
      <w:r>
        <w:br w:type="page"/>
      </w:r>
    </w:p>
    <w:p w:rsidR="00BA5163" w:rsidRPr="00BA5163" w:rsidRDefault="00BA5163" w:rsidP="00D435DA">
      <w:pPr>
        <w:pStyle w:val="Heading2"/>
      </w:pPr>
      <w:bookmarkStart w:id="6" w:name="_Toc138791497"/>
      <w:r w:rsidRPr="00BA5163">
        <w:lastRenderedPageBreak/>
        <w:t>Support ACL</w:t>
      </w:r>
      <w:r w:rsidR="003B6D3D">
        <w:t xml:space="preserve"> </w:t>
      </w:r>
      <w:r w:rsidRPr="00BA5163">
        <w:t>/</w:t>
      </w:r>
      <w:r w:rsidR="003B6D3D">
        <w:t xml:space="preserve"> </w:t>
      </w:r>
      <w:r w:rsidRPr="00BA5163">
        <w:t>HHS’s Proposal in the President’s Budget for Human Services in Disasters</w:t>
      </w:r>
      <w:bookmarkEnd w:id="6"/>
    </w:p>
    <w:p w:rsidR="00BA5163" w:rsidRPr="00BA5163" w:rsidRDefault="00BA5163" w:rsidP="00BA5163"/>
    <w:p w:rsidR="00BA5163" w:rsidRPr="00BA5163" w:rsidRDefault="00BA5163" w:rsidP="00BA5163">
      <w:r w:rsidRPr="00BA5163">
        <w:t>Disasters are increasing in frequency and intensity. Storms, tornadoes, flooding, and extreme heat are causing many places across the country to live in a constant state of disaster, and people with disabilities are being left behind.</w:t>
      </w:r>
    </w:p>
    <w:p w:rsidR="00BA5163" w:rsidRPr="00BA5163" w:rsidRDefault="00BA5163" w:rsidP="00BA5163"/>
    <w:p w:rsidR="00BA5163" w:rsidRPr="00BA5163" w:rsidRDefault="00BA5163" w:rsidP="00BA5163">
      <w:r w:rsidRPr="00BA5163">
        <w:t>We need to take a broader view as we think about preparedness and response in the 21st century.</w:t>
      </w:r>
    </w:p>
    <w:p w:rsidR="00BA5163" w:rsidRPr="00BA5163" w:rsidRDefault="00BA5163" w:rsidP="00BA5163"/>
    <w:p w:rsidR="00BA5163" w:rsidRDefault="00BA5163" w:rsidP="00D435DA">
      <w:pPr>
        <w:pStyle w:val="Heading2"/>
      </w:pPr>
      <w:bookmarkStart w:id="7" w:name="_Toc138791498"/>
      <w:r w:rsidRPr="00BA5163">
        <w:t xml:space="preserve">Establish a Disaster Human Services </w:t>
      </w:r>
      <w:r>
        <w:t>Emergency Fund</w:t>
      </w:r>
      <w:bookmarkEnd w:id="7"/>
    </w:p>
    <w:p w:rsidR="00BA5163" w:rsidRPr="00BA5163" w:rsidRDefault="00BA5163" w:rsidP="00BA5163"/>
    <w:p w:rsidR="00BA5163" w:rsidRPr="00BA5163" w:rsidRDefault="00BA5163" w:rsidP="00BA5163">
      <w:r w:rsidRPr="00BA5163">
        <w:t>Aging and Disability Networks are in every state and they serve a role in disaster planning and response. ACL’s networks can partner to fill and meet the needs of disabled and aging communities who are often the most at risk in disasters.</w:t>
      </w:r>
    </w:p>
    <w:p w:rsidR="00BA5163" w:rsidRPr="00BA5163" w:rsidRDefault="00BA5163" w:rsidP="00BA5163"/>
    <w:p w:rsidR="00BA5163" w:rsidRDefault="00BA5163" w:rsidP="00BA5163">
      <w:r w:rsidRPr="00BA5163">
        <w:t>SUPPORT will help with things such as:</w:t>
      </w:r>
    </w:p>
    <w:p w:rsidR="00BA5163" w:rsidRPr="00BA5163" w:rsidRDefault="00BA5163" w:rsidP="00BA5163"/>
    <w:p w:rsidR="00BA5163" w:rsidRPr="00BA5163" w:rsidRDefault="00BA5163" w:rsidP="007F4717">
      <w:pPr>
        <w:pStyle w:val="ListParagraph"/>
        <w:numPr>
          <w:ilvl w:val="0"/>
          <w:numId w:val="11"/>
        </w:numPr>
        <w:spacing w:after="240"/>
        <w:contextualSpacing w:val="0"/>
      </w:pPr>
      <w:r w:rsidRPr="00BA5163">
        <w:t>providing Community Living support;</w:t>
      </w:r>
    </w:p>
    <w:p w:rsidR="00BA5163" w:rsidRPr="00BA5163" w:rsidRDefault="00BA5163" w:rsidP="007F4717">
      <w:pPr>
        <w:pStyle w:val="ListParagraph"/>
        <w:numPr>
          <w:ilvl w:val="0"/>
          <w:numId w:val="11"/>
        </w:numPr>
        <w:spacing w:after="240"/>
        <w:contextualSpacing w:val="0"/>
      </w:pPr>
      <w:r w:rsidRPr="00BA5163">
        <w:t>helping prevent unwanted placement in nursing homes and other institutions;</w:t>
      </w:r>
    </w:p>
    <w:p w:rsidR="00BA5163" w:rsidRPr="00BA5163" w:rsidRDefault="00BA5163" w:rsidP="007F4717">
      <w:pPr>
        <w:pStyle w:val="ListParagraph"/>
        <w:numPr>
          <w:ilvl w:val="0"/>
          <w:numId w:val="11"/>
        </w:numPr>
        <w:spacing w:after="240"/>
        <w:contextualSpacing w:val="0"/>
      </w:pPr>
      <w:r w:rsidRPr="00BA5163">
        <w:t>helping people who have been displaced return back home as quickly as possible;</w:t>
      </w:r>
    </w:p>
    <w:p w:rsidR="00BA5163" w:rsidRPr="00BA5163" w:rsidRDefault="00BA5163" w:rsidP="007F4717">
      <w:pPr>
        <w:pStyle w:val="ListParagraph"/>
        <w:numPr>
          <w:ilvl w:val="0"/>
          <w:numId w:val="11"/>
        </w:numPr>
        <w:spacing w:after="240"/>
        <w:contextualSpacing w:val="0"/>
      </w:pPr>
      <w:r w:rsidRPr="00BA5163">
        <w:t>connecting people to community disaster services, transportation, nutrition services, personal care, or durable medical equipment; and</w:t>
      </w:r>
    </w:p>
    <w:p w:rsidR="00BA5163" w:rsidRPr="00BA5163" w:rsidRDefault="00BA5163" w:rsidP="00AC799A">
      <w:pPr>
        <w:pStyle w:val="ListParagraph"/>
        <w:numPr>
          <w:ilvl w:val="0"/>
          <w:numId w:val="11"/>
        </w:numPr>
      </w:pPr>
      <w:r w:rsidRPr="00BA5163">
        <w:t>all the things the Disability Community knows that people need to be able to make it t</w:t>
      </w:r>
      <w:r>
        <w:t>hr</w:t>
      </w:r>
      <w:r w:rsidRPr="00BA5163">
        <w:t>ough disasters and then recover.</w:t>
      </w:r>
    </w:p>
    <w:p w:rsidR="00BA5163" w:rsidRPr="00BA5163" w:rsidRDefault="00BA5163" w:rsidP="00BA5163"/>
    <w:p w:rsidR="00BA5163" w:rsidRPr="00BA5163" w:rsidRDefault="00BA5163" w:rsidP="00D435DA">
      <w:pPr>
        <w:pStyle w:val="Heading2"/>
      </w:pPr>
      <w:bookmarkStart w:id="8" w:name="_Toc138791499"/>
      <w:r>
        <w:t>Establish a Capacity Building Grant P</w:t>
      </w:r>
      <w:r w:rsidRPr="00BA5163">
        <w:t xml:space="preserve">rogram </w:t>
      </w:r>
      <w:r>
        <w:t>and Technical Assistance Center</w:t>
      </w:r>
      <w:bookmarkEnd w:id="8"/>
    </w:p>
    <w:p w:rsidR="00BA5163" w:rsidRDefault="00BA5163" w:rsidP="00BA5163"/>
    <w:p w:rsidR="00BA5163" w:rsidRDefault="00BA5163" w:rsidP="00BA5163">
      <w:r w:rsidRPr="00BA5163">
        <w:t>This would allow ACL to provide disaster capacity building grants across all disability types and across the lifespan, and establish a Center to:</w:t>
      </w:r>
    </w:p>
    <w:p w:rsidR="00BA5163" w:rsidRPr="00BA5163" w:rsidRDefault="00BA5163" w:rsidP="00BA5163"/>
    <w:p w:rsidR="00BA5163" w:rsidRPr="00BA5163" w:rsidRDefault="00BA5163" w:rsidP="00BA5163">
      <w:r w:rsidRPr="00BA5163">
        <w:t>work with the networks to create advanced planning policies, and partner with public health agencies with emergency response to help build their capacity and build long lasting partnerships.</w:t>
      </w:r>
    </w:p>
    <w:p w:rsidR="00BA5163" w:rsidRPr="00BA5163" w:rsidRDefault="00BA5163" w:rsidP="00BA5163"/>
    <w:p w:rsidR="00BA5163" w:rsidRPr="00BA5163" w:rsidRDefault="00BA5163" w:rsidP="00BA5163">
      <w:r w:rsidRPr="00BA5163">
        <w:t xml:space="preserve">Learn more at </w:t>
      </w:r>
      <w:hyperlink r:id="rId31" w:history="1">
        <w:r w:rsidRPr="00BA5163">
          <w:rPr>
            <w:rStyle w:val="Hyperlink"/>
          </w:rPr>
          <w:t>https://tinyurl.com/bdfmz95c</w:t>
        </w:r>
      </w:hyperlink>
    </w:p>
    <w:p w:rsidR="005D7633" w:rsidRDefault="005D7633">
      <w:pPr>
        <w:spacing w:after="160" w:line="259" w:lineRule="auto"/>
      </w:pPr>
      <w:r>
        <w:br w:type="page"/>
      </w:r>
    </w:p>
    <w:p w:rsidR="00BA5163" w:rsidRPr="00730D1D" w:rsidRDefault="00E74302" w:rsidP="00730D1D">
      <w:pPr>
        <w:pStyle w:val="Heading1"/>
      </w:pPr>
      <w:bookmarkStart w:id="9" w:name="_Toc138791500"/>
      <w:r w:rsidRPr="00730D1D">
        <w:lastRenderedPageBreak/>
        <w:t>NCI</w:t>
      </w:r>
      <w:r w:rsidR="00310CFD">
        <w:t>L Legislative Positions</w:t>
      </w:r>
      <w:bookmarkEnd w:id="9"/>
    </w:p>
    <w:p w:rsidR="00BA5163" w:rsidRDefault="00BA5163" w:rsidP="00BA5163"/>
    <w:p w:rsidR="000F029D" w:rsidRPr="00BA5163" w:rsidRDefault="000F029D" w:rsidP="00336FBD">
      <w:pPr>
        <w:pStyle w:val="Heading2"/>
        <w:shd w:val="clear" w:color="auto" w:fill="F8B9FF"/>
      </w:pPr>
      <w:bookmarkStart w:id="10" w:name="_Toc138791501"/>
      <w:r>
        <w:t>Long Term Services &amp; Supports</w:t>
      </w:r>
      <w:bookmarkEnd w:id="10"/>
    </w:p>
    <w:p w:rsidR="000F029D" w:rsidRPr="00BA5163" w:rsidRDefault="000F029D" w:rsidP="000F029D"/>
    <w:p w:rsidR="000F029D" w:rsidRPr="00BA5163" w:rsidRDefault="000F029D" w:rsidP="000F029D">
      <w:pPr>
        <w:pStyle w:val="Heading3"/>
      </w:pPr>
      <w:r w:rsidRPr="00BA5163">
        <w:t>Latonya Reeves Freedom Act</w:t>
      </w:r>
      <w:r>
        <w:t>:</w:t>
      </w:r>
      <w:r w:rsidRPr="00BA5163">
        <w:t xml:space="preserve"> </w:t>
      </w:r>
      <w:r>
        <w:t>H.R.</w:t>
      </w:r>
      <w:r w:rsidRPr="00BA5163">
        <w:t xml:space="preserve"> 2708</w:t>
      </w:r>
      <w:r>
        <w:t xml:space="preserve"> </w:t>
      </w:r>
      <w:r w:rsidRPr="00BA5163">
        <w:t>/ S</w:t>
      </w:r>
      <w:r>
        <w:t>.</w:t>
      </w:r>
      <w:r w:rsidRPr="00BA5163">
        <w:t xml:space="preserve"> 1193</w:t>
      </w:r>
    </w:p>
    <w:p w:rsidR="000F029D" w:rsidRDefault="000F029D" w:rsidP="000F029D"/>
    <w:p w:rsidR="000F029D" w:rsidRPr="00BA5163" w:rsidRDefault="000F029D" w:rsidP="000F029D">
      <w:r w:rsidRPr="00D435DA">
        <w:rPr>
          <w:rFonts w:ascii="MS Gothic" w:eastAsia="MS Gothic" w:hAnsi="MS Gothic" w:hint="eastAsia"/>
          <w:color w:val="00B050"/>
        </w:rPr>
        <w:t xml:space="preserve">✔ </w:t>
      </w:r>
      <w:r w:rsidRPr="00BA5163">
        <w:t>Position: Support</w:t>
      </w:r>
    </w:p>
    <w:p w:rsidR="000F029D" w:rsidRDefault="000F029D" w:rsidP="000F029D"/>
    <w:p w:rsidR="000F029D" w:rsidRPr="00BA5163" w:rsidRDefault="000F029D" w:rsidP="000F029D">
      <w:r>
        <w:t>This bill</w:t>
      </w:r>
      <w:r w:rsidRPr="00BA5163">
        <w:t xml:space="preserve"> would prohibit discrimination against individuals with disabilities who need long-term services and supports.</w:t>
      </w:r>
    </w:p>
    <w:p w:rsidR="000F029D" w:rsidRDefault="000F029D" w:rsidP="00BA5163"/>
    <w:p w:rsidR="00310CFD" w:rsidRPr="00BA5163" w:rsidRDefault="00310CFD" w:rsidP="00336FBD">
      <w:pPr>
        <w:pStyle w:val="Heading2"/>
        <w:shd w:val="clear" w:color="auto" w:fill="FDECB5"/>
      </w:pPr>
      <w:bookmarkStart w:id="11" w:name="_Toc138791502"/>
      <w:r>
        <w:t>Housing</w:t>
      </w:r>
      <w:bookmarkEnd w:id="11"/>
    </w:p>
    <w:p w:rsidR="002D1358" w:rsidRPr="002D1358" w:rsidRDefault="002D1358" w:rsidP="00310CFD">
      <w:pPr>
        <w:pStyle w:val="Heading3"/>
        <w:rPr>
          <w:sz w:val="24"/>
        </w:rPr>
      </w:pPr>
    </w:p>
    <w:p w:rsidR="00BA5163" w:rsidRDefault="00BA5163" w:rsidP="00310CFD">
      <w:pPr>
        <w:pStyle w:val="Heading3"/>
      </w:pPr>
      <w:proofErr w:type="spellStart"/>
      <w:r w:rsidRPr="00BA5163">
        <w:t>Visitable</w:t>
      </w:r>
      <w:proofErr w:type="spellEnd"/>
      <w:r w:rsidRPr="00BA5163">
        <w:t xml:space="preserve"> Inclusive Tax Credits for Accessible Living (VITAL) Act</w:t>
      </w:r>
      <w:r>
        <w:t xml:space="preserve">: </w:t>
      </w:r>
      <w:r w:rsidRPr="00BA5163">
        <w:t xml:space="preserve">S. 1377 </w:t>
      </w:r>
    </w:p>
    <w:p w:rsidR="00310CFD" w:rsidRDefault="00310CFD" w:rsidP="00BA5163">
      <w:pPr>
        <w:rPr>
          <w:rFonts w:ascii="MS Gothic" w:eastAsia="MS Gothic" w:hAnsi="MS Gothic"/>
          <w:color w:val="00B050"/>
        </w:rPr>
      </w:pPr>
    </w:p>
    <w:p w:rsidR="00BA5163" w:rsidRPr="00BA5163" w:rsidRDefault="00D435DA" w:rsidP="00BA5163">
      <w:r w:rsidRPr="00D435DA">
        <w:rPr>
          <w:rFonts w:ascii="MS Gothic" w:eastAsia="MS Gothic" w:hAnsi="MS Gothic" w:hint="eastAsia"/>
          <w:color w:val="00B050"/>
        </w:rPr>
        <w:t xml:space="preserve">✔ </w:t>
      </w:r>
      <w:r w:rsidR="00BA5163" w:rsidRPr="00BA5163">
        <w:t xml:space="preserve">Position: Support </w:t>
      </w:r>
    </w:p>
    <w:p w:rsidR="00BA5163" w:rsidRPr="00BA5163" w:rsidRDefault="00BA5163" w:rsidP="00BA5163"/>
    <w:p w:rsidR="00BA5163" w:rsidRPr="00BA5163" w:rsidRDefault="00BA5163" w:rsidP="00BA5163">
      <w:r w:rsidRPr="00BA5163">
        <w:t>This bill increases the low-income housing tax credit to serve the housing needs of older people and people with disabilities. Specifically, the bill increases state allocations of the credit and credit amounts for projects for assisting households with disabled individuals.</w:t>
      </w:r>
    </w:p>
    <w:p w:rsidR="00BA5163" w:rsidRPr="00BA5163" w:rsidRDefault="00BA5163" w:rsidP="00BA5163"/>
    <w:p w:rsidR="00BA5163" w:rsidRPr="00BA5163" w:rsidRDefault="00BA5163" w:rsidP="00BA5163">
      <w:r w:rsidRPr="00BA5163">
        <w:t>The bill requires each state housing finance agency to establish and operate a Resource Center for the Low-Income Housing Tax Credit Program to support new program applicants and recipients. It also establishes a National Low-Income Housing Tax Credit Advisory Council to provide best practice recommendations to state housing finance agencies and other entities relating to affordable housing trends.</w:t>
      </w:r>
    </w:p>
    <w:p w:rsidR="00BA5163" w:rsidRPr="00BA5163" w:rsidRDefault="00BA5163" w:rsidP="00BA5163"/>
    <w:p w:rsidR="00BA5163" w:rsidRPr="00BA5163" w:rsidRDefault="00BA5163" w:rsidP="00310CFD">
      <w:pPr>
        <w:pStyle w:val="Heading3"/>
      </w:pPr>
      <w:r w:rsidRPr="00BA5163">
        <w:t>Affordable Housing Credit Improvement Act</w:t>
      </w:r>
      <w:r>
        <w:t>:</w:t>
      </w:r>
      <w:r w:rsidRPr="00BA5163">
        <w:t xml:space="preserve"> </w:t>
      </w:r>
      <w:r>
        <w:t>H.R.</w:t>
      </w:r>
      <w:r w:rsidRPr="00BA5163">
        <w:t xml:space="preserve"> 3238</w:t>
      </w:r>
      <w:r>
        <w:t xml:space="preserve"> / </w:t>
      </w:r>
      <w:r w:rsidRPr="00BA5163">
        <w:t>S</w:t>
      </w:r>
      <w:r>
        <w:t>.</w:t>
      </w:r>
      <w:r w:rsidRPr="00BA5163">
        <w:t xml:space="preserve"> 1557</w:t>
      </w:r>
    </w:p>
    <w:p w:rsidR="00BA5163" w:rsidRDefault="00BA5163" w:rsidP="00BA5163"/>
    <w:p w:rsidR="00BA5163" w:rsidRPr="00BA5163" w:rsidRDefault="00D435DA" w:rsidP="00BA5163">
      <w:r w:rsidRPr="00D435DA">
        <w:rPr>
          <w:rFonts w:ascii="MS Gothic" w:eastAsia="MS Gothic" w:hAnsi="MS Gothic" w:hint="eastAsia"/>
          <w:color w:val="00B050"/>
        </w:rPr>
        <w:t xml:space="preserve">✔ </w:t>
      </w:r>
      <w:r w:rsidR="00BA5163" w:rsidRPr="00BA5163">
        <w:t xml:space="preserve">Position: Support </w:t>
      </w:r>
    </w:p>
    <w:p w:rsidR="00BA5163" w:rsidRPr="00BA5163" w:rsidRDefault="00BA5163" w:rsidP="00BA5163"/>
    <w:p w:rsidR="00BA5163" w:rsidRDefault="00D435DA" w:rsidP="00BA5163">
      <w:r>
        <w:t>This bill w</w:t>
      </w:r>
      <w:r w:rsidR="00BA5163" w:rsidRPr="00BA5163">
        <w:t>ould reform the tax credit to provide additional incentives to developers to build homes affordable to the extremely low-income households who are most impacted by the housing crisis, as well as underserved rural and Native American communities. </w:t>
      </w:r>
    </w:p>
    <w:p w:rsidR="00E15092" w:rsidRDefault="00E15092" w:rsidP="00BA5163"/>
    <w:p w:rsidR="00E15092" w:rsidRPr="00BA5163" w:rsidRDefault="00E15092" w:rsidP="00E15092">
      <w:pPr>
        <w:pStyle w:val="Heading3"/>
      </w:pPr>
      <w:r w:rsidRPr="00BA5163">
        <w:t xml:space="preserve">Housing Fairness </w:t>
      </w:r>
      <w:r>
        <w:t>Act (</w:t>
      </w:r>
      <w:r w:rsidRPr="00BA5163">
        <w:t>118th Congress</w:t>
      </w:r>
      <w:r>
        <w:t xml:space="preserve">: </w:t>
      </w:r>
      <w:r w:rsidRPr="00BA5163">
        <w:t>H.R.</w:t>
      </w:r>
      <w:r>
        <w:t xml:space="preserve"> </w:t>
      </w:r>
      <w:r w:rsidRPr="00BA5163">
        <w:t>68</w:t>
      </w:r>
      <w:r>
        <w:t>)</w:t>
      </w:r>
    </w:p>
    <w:p w:rsidR="00E15092" w:rsidRDefault="00E15092" w:rsidP="00E15092"/>
    <w:p w:rsidR="00E15092" w:rsidRPr="00BA5163" w:rsidRDefault="00E15092" w:rsidP="00E15092">
      <w:r>
        <w:rPr>
          <w:rFonts w:ascii="MS Gothic" w:eastAsia="MS Gothic" w:hAnsi="MS Gothic" w:hint="eastAsia"/>
          <w:color w:val="00B050"/>
        </w:rPr>
        <w:t xml:space="preserve">✔ </w:t>
      </w:r>
      <w:r w:rsidRPr="00BA5163">
        <w:t>Position: Support</w:t>
      </w:r>
    </w:p>
    <w:p w:rsidR="00E15092" w:rsidRPr="00BA5163" w:rsidRDefault="00E15092" w:rsidP="00E15092"/>
    <w:p w:rsidR="00E15092" w:rsidRPr="00BA5163" w:rsidRDefault="00E15092" w:rsidP="00E15092">
      <w:r>
        <w:t xml:space="preserve">This bill is also known as the </w:t>
      </w:r>
      <w:r w:rsidRPr="00BA5163">
        <w:t xml:space="preserve">Veterans, Women, Families with Children, Race, and Persons with Disabilities Housing Fairness Act </w:t>
      </w:r>
      <w:r>
        <w:t>of 2023.</w:t>
      </w:r>
    </w:p>
    <w:p w:rsidR="00E15092" w:rsidRPr="00BA5163" w:rsidRDefault="00E15092" w:rsidP="00E15092"/>
    <w:p w:rsidR="00E15092" w:rsidRPr="00BA5163" w:rsidRDefault="00E15092" w:rsidP="00E15092">
      <w:r w:rsidRPr="00BA5163">
        <w:lastRenderedPageBreak/>
        <w:t>This bill expands efforts to detect and address housing discrimination.</w:t>
      </w:r>
    </w:p>
    <w:p w:rsidR="00E15092" w:rsidRPr="00BA5163" w:rsidRDefault="00E15092" w:rsidP="00E15092"/>
    <w:p w:rsidR="00E15092" w:rsidRPr="00BA5163" w:rsidRDefault="00E15092" w:rsidP="00E15092">
      <w:r w:rsidRPr="00BA5163">
        <w:t>Specifically, the Department of Housing and Urban Development (HUD) must conduct a nationwide testing program to (1) detect and document differences in the treatment of prospective renters, homebuyers, or mortgage borrowers; (2) measure patterns of adverse treatment because of the race, color, religion, sex, familial status, disability status, or national origin of a renter, homebuyer, or borrower; and (3) measure the prevalence of such discriminatory practices across housing and mortgage lending markets.</w:t>
      </w:r>
    </w:p>
    <w:p w:rsidR="00E15092" w:rsidRPr="00BA5163" w:rsidRDefault="00E15092" w:rsidP="00E15092"/>
    <w:p w:rsidR="00E15092" w:rsidRPr="00BA5163" w:rsidRDefault="00E15092" w:rsidP="00E15092">
      <w:r w:rsidRPr="00BA5163">
        <w:t xml:space="preserve">The bill also reauthorizes </w:t>
      </w:r>
      <w:r>
        <w:t>through</w:t>
      </w:r>
      <w:r w:rsidRPr="00BA5163">
        <w:t xml:space="preserve"> FY2027 the Fair Housing Initiatives Program, which supports organizations that provide direct assistance to individuals who have been victims of housing discrimination.</w:t>
      </w:r>
    </w:p>
    <w:p w:rsidR="00E15092" w:rsidRPr="00BA5163" w:rsidRDefault="00E15092" w:rsidP="00E15092"/>
    <w:p w:rsidR="00E15092" w:rsidRPr="00BA5163" w:rsidRDefault="00E15092" w:rsidP="00E15092">
      <w:r w:rsidRPr="00BA5163">
        <w:t>Additionally, HUD must implement a grant program to assist public and private nonprofit organizations in (1) conducting comprehensive studies on the causes or effects of housing discrimination and segregation, and (2) implementing pilot projects that test solutions to help prevent or alleviate housing discrimination and segregation.</w:t>
      </w:r>
    </w:p>
    <w:p w:rsidR="00BA5163" w:rsidRDefault="00BA5163" w:rsidP="00BA5163"/>
    <w:p w:rsidR="000F029D" w:rsidRPr="00BA5163" w:rsidRDefault="000F029D" w:rsidP="00336FBD">
      <w:pPr>
        <w:pStyle w:val="Heading2"/>
        <w:shd w:val="clear" w:color="auto" w:fill="F8B9FF"/>
      </w:pPr>
      <w:bookmarkStart w:id="12" w:name="_Toc138791503"/>
      <w:r>
        <w:t>Chronic Pain &amp; Opioids</w:t>
      </w:r>
      <w:bookmarkEnd w:id="12"/>
    </w:p>
    <w:p w:rsidR="000F029D" w:rsidRDefault="000F029D" w:rsidP="000F029D"/>
    <w:p w:rsidR="000F029D" w:rsidRPr="00BA5163" w:rsidRDefault="000F029D" w:rsidP="000F029D">
      <w:pPr>
        <w:pStyle w:val="Heading3"/>
      </w:pPr>
      <w:r w:rsidRPr="00BA5163">
        <w:t>Non-Opioids Prevent Addiction in the Nation (NOPAIN) Act</w:t>
      </w:r>
      <w:r>
        <w:t xml:space="preserve">: </w:t>
      </w:r>
      <w:r w:rsidRPr="00BA5163">
        <w:t xml:space="preserve">Included in the Consolidated Appropriations </w:t>
      </w:r>
      <w:r>
        <w:t>Act of 2023</w:t>
      </w:r>
    </w:p>
    <w:p w:rsidR="000F029D" w:rsidRDefault="000F029D" w:rsidP="000F029D"/>
    <w:p w:rsidR="000F029D" w:rsidRPr="00BA5163" w:rsidRDefault="000F029D" w:rsidP="000F029D">
      <w:r w:rsidRPr="00310CFD">
        <w:rPr>
          <w:rFonts w:ascii="MS Gothic" w:eastAsia="MS Gothic" w:hAnsi="MS Gothic" w:hint="eastAsia"/>
          <w:color w:val="FF9933"/>
        </w:rPr>
        <w:t>🈩</w:t>
      </w:r>
      <w:r w:rsidRPr="00310CFD">
        <w:rPr>
          <w:rFonts w:ascii="MS Gothic" w:eastAsia="MS Gothic" w:hAnsi="MS Gothic"/>
          <w:color w:val="FF9933"/>
        </w:rPr>
        <w:t xml:space="preserve"> </w:t>
      </w:r>
      <w:r w:rsidRPr="00BA5163">
        <w:t>Position: Support, with concerns</w:t>
      </w:r>
    </w:p>
    <w:p w:rsidR="000F029D" w:rsidRPr="00BA5163" w:rsidRDefault="000F029D" w:rsidP="000F029D"/>
    <w:p w:rsidR="000F029D" w:rsidRPr="00BA5163" w:rsidRDefault="000F029D" w:rsidP="000F029D">
      <w:r w:rsidRPr="00BA5163">
        <w:t>We applaud efforts to expand coverage of non-opioid options, so long as they do not create unnecessary barriers where opioid prescribing is appropriate. The Consolidated Appropriations Act of 2023 requires HHS to study this law’s effect on prescribing. In future legislation, we would like to see Congress require reporting on patient outcomes such as pain severity and recovery time.</w:t>
      </w:r>
    </w:p>
    <w:p w:rsidR="000F029D" w:rsidRPr="00BA5163" w:rsidRDefault="000F029D" w:rsidP="000F029D"/>
    <w:p w:rsidR="000F029D" w:rsidRPr="00BA5163" w:rsidRDefault="000F029D" w:rsidP="000F029D">
      <w:pPr>
        <w:pStyle w:val="Heading3"/>
      </w:pPr>
      <w:r w:rsidRPr="00BA5163">
        <w:t xml:space="preserve">Block, Report, and Suspend Suspicious Shipments Act (118th Congress: H.R. 501) </w:t>
      </w:r>
    </w:p>
    <w:p w:rsidR="000F029D" w:rsidRDefault="000F029D" w:rsidP="000F029D">
      <w:pPr>
        <w:rPr>
          <w:rFonts w:ascii="MS Gothic" w:eastAsia="MS Gothic" w:hAnsi="MS Gothic"/>
          <w:color w:val="FF9933"/>
        </w:rPr>
      </w:pPr>
    </w:p>
    <w:p w:rsidR="000F029D" w:rsidRPr="00BA5163" w:rsidRDefault="000F029D" w:rsidP="000F029D">
      <w:r w:rsidRPr="00310CFD">
        <w:rPr>
          <w:rFonts w:ascii="MS Gothic" w:eastAsia="MS Gothic" w:hAnsi="MS Gothic" w:hint="eastAsia"/>
          <w:color w:val="FF9933"/>
        </w:rPr>
        <w:t>🈩</w:t>
      </w:r>
      <w:r w:rsidRPr="00310CFD">
        <w:rPr>
          <w:rFonts w:ascii="MS Gothic" w:eastAsia="MS Gothic" w:hAnsi="MS Gothic"/>
          <w:color w:val="FF9933"/>
        </w:rPr>
        <w:t xml:space="preserve"> </w:t>
      </w:r>
      <w:r w:rsidRPr="00BA5163">
        <w:t>Position: Amendment needed</w:t>
      </w:r>
    </w:p>
    <w:p w:rsidR="000F029D" w:rsidRPr="00BA5163" w:rsidRDefault="000F029D" w:rsidP="000F029D"/>
    <w:p w:rsidR="000F029D" w:rsidRPr="00BA5163" w:rsidRDefault="000F029D" w:rsidP="000F029D">
      <w:r w:rsidRPr="00BA5163">
        <w:t>This bill would flag suspicious pharmacy orders; however, it does not clearly define what constitutes a “suspicious order.” If a suspicious order is blocked in error, patients could suffer immediate harm from lack of access to necessary medication.</w:t>
      </w:r>
    </w:p>
    <w:p w:rsidR="000F029D" w:rsidRPr="00BA5163" w:rsidRDefault="000F029D" w:rsidP="000F029D"/>
    <w:p w:rsidR="000F029D" w:rsidRPr="00BA5163" w:rsidRDefault="000F029D" w:rsidP="000F029D">
      <w:pPr>
        <w:pStyle w:val="Heading3"/>
      </w:pPr>
      <w:r w:rsidRPr="00BA5163">
        <w:t>Protecting Americans from Dangerous Opioids Act (118th Congress: S. 606)</w:t>
      </w:r>
    </w:p>
    <w:p w:rsidR="000F029D" w:rsidRDefault="000F029D" w:rsidP="000F029D"/>
    <w:p w:rsidR="000F029D" w:rsidRPr="00BA5163" w:rsidRDefault="000F029D" w:rsidP="000F029D">
      <w:r w:rsidRPr="00310CFD">
        <w:rPr>
          <w:rFonts w:ascii="MS Gothic" w:eastAsia="MS Gothic" w:hAnsi="MS Gothic" w:hint="eastAsia"/>
          <w:color w:val="FF0000"/>
        </w:rPr>
        <w:t>✘</w:t>
      </w:r>
      <w:r w:rsidRPr="00310CFD">
        <w:rPr>
          <w:color w:val="FF0000"/>
        </w:rPr>
        <w:t xml:space="preserve"> </w:t>
      </w:r>
      <w:r w:rsidRPr="00BA5163">
        <w:t>Position: Oppose</w:t>
      </w:r>
    </w:p>
    <w:p w:rsidR="000F029D" w:rsidRPr="00BA5163" w:rsidRDefault="000F029D" w:rsidP="000F029D"/>
    <w:p w:rsidR="000F029D" w:rsidRDefault="000F029D" w:rsidP="000F029D">
      <w:r w:rsidRPr="00BA5163">
        <w:t>This bill would require the FDA to remove existing medications from the market. Some of our members have led stable and successful lives taking one specific medication for many years; we are seriously concerned for these individuals’ well-being if the FDA were to ban their treatment plan solely because federal law requires fewer medication formulations in the analgesic category.</w:t>
      </w:r>
    </w:p>
    <w:p w:rsidR="000F029D" w:rsidRDefault="000F029D" w:rsidP="00336FBD">
      <w:pPr>
        <w:pStyle w:val="Heading2"/>
        <w:shd w:val="clear" w:color="auto" w:fill="FDECB5"/>
      </w:pPr>
      <w:bookmarkStart w:id="13" w:name="_Toc138791504"/>
      <w:r>
        <w:lastRenderedPageBreak/>
        <w:t>Employment &amp; Social Security</w:t>
      </w:r>
      <w:bookmarkEnd w:id="13"/>
    </w:p>
    <w:p w:rsidR="000F029D" w:rsidRDefault="000F029D" w:rsidP="000F029D"/>
    <w:p w:rsidR="000F029D" w:rsidRDefault="000F029D" w:rsidP="000F029D">
      <w:pPr>
        <w:pStyle w:val="Heading3"/>
      </w:pPr>
      <w:r w:rsidRPr="00BA5163">
        <w:t>Transformation to Competitive Integrated Employment Act</w:t>
      </w:r>
      <w:r>
        <w:t>:</w:t>
      </w:r>
      <w:r w:rsidRPr="00BA5163">
        <w:t xml:space="preserve"> </w:t>
      </w:r>
      <w:r>
        <w:t>H.R.</w:t>
      </w:r>
      <w:r w:rsidRPr="00BA5163">
        <w:t xml:space="preserve"> 1263</w:t>
      </w:r>
      <w:r>
        <w:t xml:space="preserve"> / </w:t>
      </w:r>
      <w:r w:rsidRPr="00BA5163">
        <w:t>S</w:t>
      </w:r>
      <w:r>
        <w:t>.</w:t>
      </w:r>
      <w:r w:rsidRPr="00BA5163">
        <w:t xml:space="preserve"> 533</w:t>
      </w:r>
    </w:p>
    <w:p w:rsidR="000F029D" w:rsidRPr="00BA5163" w:rsidRDefault="000F029D" w:rsidP="000F029D"/>
    <w:p w:rsidR="000F029D" w:rsidRPr="00BA5163" w:rsidRDefault="000F029D" w:rsidP="000F029D">
      <w:r>
        <w:rPr>
          <w:rFonts w:ascii="MS Gothic" w:eastAsia="MS Gothic" w:hAnsi="MS Gothic" w:hint="eastAsia"/>
          <w:color w:val="00B050"/>
        </w:rPr>
        <w:t xml:space="preserve">✔ </w:t>
      </w:r>
      <w:r>
        <w:t xml:space="preserve">Position: </w:t>
      </w:r>
      <w:r w:rsidRPr="00BA5163">
        <w:t>Support</w:t>
      </w:r>
    </w:p>
    <w:p w:rsidR="000F029D" w:rsidRPr="00BA5163" w:rsidRDefault="000F029D" w:rsidP="000F029D"/>
    <w:p w:rsidR="000F029D" w:rsidRPr="00BA5163" w:rsidRDefault="000F029D" w:rsidP="000F029D">
      <w:r w:rsidRPr="00BA5163">
        <w:t>This bill addresses employment standards for people with disabilities. </w:t>
      </w:r>
    </w:p>
    <w:p w:rsidR="000F029D" w:rsidRPr="00BA5163" w:rsidRDefault="000F029D" w:rsidP="000F029D"/>
    <w:p w:rsidR="000F029D" w:rsidRDefault="000F029D" w:rsidP="000F029D">
      <w:r w:rsidRPr="00BA5163">
        <w:t xml:space="preserve">The bill directs the Department of Labor to award grants to states and certain eligible entities to assist them in transforming their business and program models to support people with disabilities </w:t>
      </w:r>
      <w:r>
        <w:t>by:</w:t>
      </w:r>
    </w:p>
    <w:p w:rsidR="000F029D" w:rsidRPr="00BA5163" w:rsidRDefault="000F029D" w:rsidP="000F029D"/>
    <w:p w:rsidR="000F029D" w:rsidRPr="00BA5163" w:rsidRDefault="000F029D" w:rsidP="000F029D">
      <w:pPr>
        <w:pStyle w:val="ListParagraph"/>
        <w:numPr>
          <w:ilvl w:val="0"/>
          <w:numId w:val="13"/>
        </w:numPr>
        <w:spacing w:after="240"/>
        <w:contextualSpacing w:val="0"/>
      </w:pPr>
      <w:r w:rsidRPr="00BA5163">
        <w:t>providing competitive integrated employment, </w:t>
      </w:r>
    </w:p>
    <w:p w:rsidR="000F029D" w:rsidRPr="00BA5163" w:rsidRDefault="000F029D" w:rsidP="000F029D">
      <w:pPr>
        <w:pStyle w:val="ListParagraph"/>
        <w:numPr>
          <w:ilvl w:val="0"/>
          <w:numId w:val="13"/>
        </w:numPr>
        <w:spacing w:after="240"/>
        <w:contextualSpacing w:val="0"/>
      </w:pPr>
      <w:r w:rsidRPr="00BA5163">
        <w:t>assisting such individuals in finding and retaining work in such employment,</w:t>
      </w:r>
    </w:p>
    <w:p w:rsidR="000F029D" w:rsidRPr="00BA5163" w:rsidRDefault="000F029D" w:rsidP="000F029D">
      <w:pPr>
        <w:pStyle w:val="ListParagraph"/>
        <w:numPr>
          <w:ilvl w:val="0"/>
          <w:numId w:val="13"/>
        </w:numPr>
        <w:spacing w:after="240"/>
        <w:contextualSpacing w:val="0"/>
      </w:pPr>
      <w:r w:rsidRPr="00BA5163">
        <w:t>providing integrated employment and integrated community participation and wraparound services for such individuals, and</w:t>
      </w:r>
    </w:p>
    <w:p w:rsidR="000F029D" w:rsidRPr="00BA5163" w:rsidRDefault="000F029D" w:rsidP="000F029D">
      <w:pPr>
        <w:pStyle w:val="ListParagraph"/>
        <w:numPr>
          <w:ilvl w:val="0"/>
          <w:numId w:val="13"/>
        </w:numPr>
        <w:spacing w:after="240"/>
        <w:contextualSpacing w:val="0"/>
      </w:pPr>
      <w:r w:rsidRPr="00BA5163">
        <w:t>ensuring that such services comply with federal regulations for individuals receiving home and community-based services. </w:t>
      </w:r>
    </w:p>
    <w:p w:rsidR="000F029D" w:rsidRPr="00BA5163" w:rsidRDefault="000F029D" w:rsidP="000F029D">
      <w:pPr>
        <w:pStyle w:val="ListParagraph"/>
        <w:numPr>
          <w:ilvl w:val="0"/>
          <w:numId w:val="13"/>
        </w:numPr>
      </w:pPr>
      <w:r w:rsidRPr="00BA5163">
        <w:t>The bill also prohibits the issuance of new special certificates that allow payment of subminimum wages to people with disabilities and phases out existing certificates over a five-year period. </w:t>
      </w:r>
    </w:p>
    <w:p w:rsidR="000F029D" w:rsidRDefault="000F029D" w:rsidP="000F029D"/>
    <w:p w:rsidR="000F029D" w:rsidRPr="00BA5163" w:rsidRDefault="000F029D" w:rsidP="000F029D">
      <w:r w:rsidRPr="00BA5163">
        <w:t>The bill directs Labor's Office of Disability Employment to award grants to provide technical assistance and other strategic support to employers transitioning from special certificates to competitive integrated employment for people with disabilities. </w:t>
      </w:r>
    </w:p>
    <w:p w:rsidR="000F029D" w:rsidRPr="00BA5163" w:rsidRDefault="000F029D" w:rsidP="000F029D">
      <w:r w:rsidRPr="00BA5163">
        <w:t>Labor must contract with a nonprofit entity to conduct an evaluation of the impact of these transitions.</w:t>
      </w:r>
    </w:p>
    <w:p w:rsidR="000F029D" w:rsidRPr="00BA5163" w:rsidRDefault="000F029D" w:rsidP="000F029D"/>
    <w:p w:rsidR="000F029D" w:rsidRDefault="000F029D" w:rsidP="000F029D">
      <w:pPr>
        <w:pStyle w:val="Heading3"/>
      </w:pPr>
      <w:r w:rsidRPr="00BA5163">
        <w:rPr>
          <w:rFonts w:eastAsia="Calibri"/>
        </w:rPr>
        <w:t xml:space="preserve">Social Security Fairness </w:t>
      </w:r>
      <w:r>
        <w:t>Act (</w:t>
      </w:r>
      <w:r w:rsidRPr="00BA5163">
        <w:rPr>
          <w:rFonts w:eastAsia="Calibri"/>
        </w:rPr>
        <w:t>118th Congress</w:t>
      </w:r>
      <w:r>
        <w:t xml:space="preserve">: </w:t>
      </w:r>
      <w:r w:rsidRPr="00BA5163">
        <w:rPr>
          <w:rFonts w:eastAsia="Calibri"/>
        </w:rPr>
        <w:t>H.R.</w:t>
      </w:r>
      <w:r>
        <w:t xml:space="preserve"> </w:t>
      </w:r>
      <w:r w:rsidRPr="00BA5163">
        <w:rPr>
          <w:rFonts w:eastAsia="Calibri"/>
        </w:rPr>
        <w:t>82</w:t>
      </w:r>
      <w:r>
        <w:rPr>
          <w:rFonts w:eastAsia="Calibri"/>
        </w:rPr>
        <w:t xml:space="preserve"> / S. 159</w:t>
      </w:r>
      <w:r>
        <w:t>)</w:t>
      </w:r>
    </w:p>
    <w:p w:rsidR="000F029D" w:rsidRPr="00BA5163" w:rsidRDefault="000F029D" w:rsidP="000F029D"/>
    <w:p w:rsidR="000F029D" w:rsidRDefault="000F029D" w:rsidP="000F029D">
      <w:r>
        <w:rPr>
          <w:rFonts w:ascii="MS Gothic" w:eastAsia="MS Gothic" w:hAnsi="MS Gothic" w:hint="eastAsia"/>
          <w:color w:val="00B050"/>
        </w:rPr>
        <w:t xml:space="preserve">✔ </w:t>
      </w:r>
      <w:r w:rsidRPr="00BA5163">
        <w:t>Position: Support</w:t>
      </w:r>
    </w:p>
    <w:p w:rsidR="000F029D" w:rsidRPr="00BA5163" w:rsidRDefault="000F029D" w:rsidP="000F029D"/>
    <w:p w:rsidR="000F029D" w:rsidRDefault="000F029D" w:rsidP="000F029D">
      <w:r w:rsidRPr="00BA5163">
        <w:t xml:space="preserve">This bill repeals provisions that reduce Social Security benefits for individuals who receive other benefits, such as a pension from a state or local government. </w:t>
      </w:r>
    </w:p>
    <w:p w:rsidR="000F029D" w:rsidRPr="00BA5163" w:rsidRDefault="000F029D" w:rsidP="000F029D"/>
    <w:p w:rsidR="000F029D" w:rsidRPr="00BA5163" w:rsidRDefault="000F029D" w:rsidP="000F029D">
      <w:r w:rsidRPr="00BA5163">
        <w:t xml:space="preserve">The bill eliminates the government pension offset, which in various instances reduces Social Security benefits for spouses, widows, and widowers who also receive government pensions of their own. </w:t>
      </w:r>
    </w:p>
    <w:p w:rsidR="000F029D" w:rsidRPr="00BA5163" w:rsidRDefault="000F029D" w:rsidP="000F029D"/>
    <w:p w:rsidR="000F029D" w:rsidRPr="00BA5163" w:rsidRDefault="000F029D" w:rsidP="000F029D">
      <w:r w:rsidRPr="00BA5163">
        <w:t xml:space="preserve">The bill also eliminates the windfall elimination provision, which in some instances reduces Social Security benefits for individuals who also receive a pension or disability benefit from an employer that did not withhold Social Security taxes. </w:t>
      </w:r>
    </w:p>
    <w:p w:rsidR="000F029D" w:rsidRDefault="000F029D" w:rsidP="000F029D"/>
    <w:p w:rsidR="000F029D" w:rsidRDefault="000F029D" w:rsidP="000F029D">
      <w:r w:rsidRPr="00BA5163">
        <w:t>These changes are effective for benefits payable after December 2023.</w:t>
      </w:r>
      <w:r>
        <w:t xml:space="preserve"> </w:t>
      </w:r>
      <w:r w:rsidRPr="00BA5163">
        <w:t>Assigned to Senate Finance Committee</w:t>
      </w:r>
      <w:r>
        <w:t>.</w:t>
      </w:r>
    </w:p>
    <w:p w:rsidR="000F029D" w:rsidRDefault="000F029D">
      <w:pPr>
        <w:spacing w:after="160" w:line="259" w:lineRule="auto"/>
      </w:pPr>
    </w:p>
    <w:p w:rsidR="00310CFD" w:rsidRDefault="00310CFD" w:rsidP="00336FBD">
      <w:pPr>
        <w:pStyle w:val="Heading2"/>
        <w:shd w:val="clear" w:color="auto" w:fill="F8B9FF"/>
        <w:tabs>
          <w:tab w:val="left" w:pos="3000"/>
        </w:tabs>
      </w:pPr>
      <w:bookmarkStart w:id="14" w:name="_Toc138791505"/>
      <w:r>
        <w:lastRenderedPageBreak/>
        <w:t>Transportation</w:t>
      </w:r>
      <w:bookmarkEnd w:id="14"/>
      <w:r w:rsidR="00336FBD">
        <w:tab/>
      </w:r>
    </w:p>
    <w:p w:rsidR="00310CFD" w:rsidRPr="00BA5163" w:rsidRDefault="00310CFD" w:rsidP="00E15092"/>
    <w:p w:rsidR="00BA5163" w:rsidRDefault="00BA5163" w:rsidP="00310CFD">
      <w:pPr>
        <w:pStyle w:val="Heading3"/>
      </w:pPr>
      <w:r w:rsidRPr="00BA5163">
        <w:t xml:space="preserve">Air </w:t>
      </w:r>
      <w:r w:rsidR="002C4A5F">
        <w:t>Carrier Access Amendments Act</w:t>
      </w:r>
      <w:r>
        <w:t>:</w:t>
      </w:r>
      <w:r w:rsidRPr="00BA5163">
        <w:t xml:space="preserve"> </w:t>
      </w:r>
      <w:r>
        <w:t>H.R.</w:t>
      </w:r>
      <w:r w:rsidRPr="00BA5163">
        <w:t>1267</w:t>
      </w:r>
      <w:r>
        <w:t xml:space="preserve"> </w:t>
      </w:r>
      <w:r w:rsidRPr="00BA5163">
        <w:t>/</w:t>
      </w:r>
      <w:r>
        <w:t xml:space="preserve"> </w:t>
      </w:r>
      <w:r w:rsidRPr="00BA5163">
        <w:t>S. 545</w:t>
      </w:r>
    </w:p>
    <w:p w:rsidR="00BA5163" w:rsidRPr="00BA5163" w:rsidRDefault="00BA5163" w:rsidP="00BA5163"/>
    <w:p w:rsidR="00BA5163" w:rsidRPr="00BA5163" w:rsidRDefault="00D435DA" w:rsidP="00BA5163">
      <w:r w:rsidRPr="00D435DA">
        <w:rPr>
          <w:rFonts w:ascii="MS Gothic" w:eastAsia="MS Gothic" w:hAnsi="MS Gothic" w:hint="eastAsia"/>
          <w:color w:val="00B050"/>
        </w:rPr>
        <w:t xml:space="preserve">✔ </w:t>
      </w:r>
      <w:r w:rsidR="00BA5163" w:rsidRPr="00BA5163">
        <w:t xml:space="preserve">Position: Support </w:t>
      </w:r>
    </w:p>
    <w:p w:rsidR="00BA5163" w:rsidRPr="00BA5163" w:rsidRDefault="00BA5163" w:rsidP="00BA5163"/>
    <w:p w:rsidR="00BA5163" w:rsidRPr="00BA5163" w:rsidRDefault="00BA5163" w:rsidP="00BA5163">
      <w:r w:rsidRPr="00BA5163">
        <w:t>This bill expands protections for airline passengers with disabilities and requires air carriers to meet certain minimum accessibility standards. </w:t>
      </w:r>
    </w:p>
    <w:p w:rsidR="00BA5163" w:rsidRPr="00BA5163" w:rsidRDefault="00BA5163" w:rsidP="00BA5163"/>
    <w:p w:rsidR="00BA5163" w:rsidRPr="00BA5163" w:rsidRDefault="00BA5163" w:rsidP="00BA5163">
      <w:r w:rsidRPr="00BA5163">
        <w:t xml:space="preserve">The Department of Transportation (DOT) must prescribe regulations setting minimum accessibility standards for new and existing aircraft, airport facilities, websites, and kiosks. The accessibility standards must address topics including: </w:t>
      </w:r>
    </w:p>
    <w:p w:rsidR="00BA5163" w:rsidRPr="00BA5163" w:rsidRDefault="00BA5163" w:rsidP="00BA5163"/>
    <w:p w:rsidR="00BA5163" w:rsidRPr="00BA5163" w:rsidRDefault="00BA5163" w:rsidP="001B571B">
      <w:pPr>
        <w:pStyle w:val="ListParagraph"/>
        <w:numPr>
          <w:ilvl w:val="0"/>
          <w:numId w:val="12"/>
        </w:numPr>
        <w:spacing w:after="240"/>
        <w:contextualSpacing w:val="0"/>
      </w:pPr>
      <w:r w:rsidRPr="00BA5163">
        <w:t>boarding and deplaning equipment, including ensuring individuals can board and deplane an aircraft from their personal assistive devices (e.g., wheelchairs);</w:t>
      </w:r>
    </w:p>
    <w:p w:rsidR="00BA5163" w:rsidRPr="00BA5163" w:rsidRDefault="00BA5163" w:rsidP="001B571B">
      <w:pPr>
        <w:pStyle w:val="ListParagraph"/>
        <w:numPr>
          <w:ilvl w:val="0"/>
          <w:numId w:val="12"/>
        </w:numPr>
        <w:spacing w:after="240"/>
        <w:contextualSpacing w:val="0"/>
      </w:pPr>
      <w:r w:rsidRPr="00BA5163">
        <w:t>seating accommodations;</w:t>
      </w:r>
    </w:p>
    <w:p w:rsidR="00BA5163" w:rsidRPr="00BA5163" w:rsidRDefault="00BA5163" w:rsidP="001B571B">
      <w:pPr>
        <w:pStyle w:val="ListParagraph"/>
        <w:numPr>
          <w:ilvl w:val="0"/>
          <w:numId w:val="12"/>
        </w:numPr>
        <w:spacing w:after="240"/>
        <w:contextualSpacing w:val="0"/>
      </w:pPr>
      <w:r w:rsidRPr="00BA5163">
        <w:t>lavatories;</w:t>
      </w:r>
    </w:p>
    <w:p w:rsidR="00BA5163" w:rsidRPr="00BA5163" w:rsidRDefault="00BA5163" w:rsidP="001B571B">
      <w:pPr>
        <w:pStyle w:val="ListParagraph"/>
        <w:numPr>
          <w:ilvl w:val="0"/>
          <w:numId w:val="12"/>
        </w:numPr>
        <w:spacing w:after="240"/>
        <w:contextualSpacing w:val="0"/>
      </w:pPr>
      <w:r w:rsidRPr="00BA5163">
        <w:t>visually accessible announcements; and </w:t>
      </w:r>
    </w:p>
    <w:p w:rsidR="00BA5163" w:rsidRPr="00BA5163" w:rsidRDefault="00BA5163" w:rsidP="001B571B">
      <w:pPr>
        <w:pStyle w:val="ListParagraph"/>
        <w:numPr>
          <w:ilvl w:val="0"/>
          <w:numId w:val="12"/>
        </w:numPr>
        <w:spacing w:after="240"/>
        <w:contextualSpacing w:val="0"/>
      </w:pPr>
      <w:r w:rsidRPr="00BA5163">
        <w:t>proper stowage of assistive devices in the cargo hold to prevent damage.</w:t>
      </w:r>
    </w:p>
    <w:p w:rsidR="00BA5163" w:rsidRPr="00BA5163" w:rsidRDefault="00BA5163" w:rsidP="001B571B">
      <w:pPr>
        <w:pStyle w:val="ListParagraph"/>
        <w:numPr>
          <w:ilvl w:val="0"/>
          <w:numId w:val="12"/>
        </w:numPr>
        <w:spacing w:after="240"/>
        <w:contextualSpacing w:val="0"/>
      </w:pPr>
      <w:r w:rsidRPr="00BA5163">
        <w:t>Existing aircraft have five years from the effective date of the regulations to comply with the standards. DOT must assess civil penalties against an air carrier for violations of these provisions and refer patterns of discrimination to the Department of Justice (DOJ).</w:t>
      </w:r>
    </w:p>
    <w:p w:rsidR="00BA5163" w:rsidRPr="00BA5163" w:rsidRDefault="00BA5163" w:rsidP="00AC799A">
      <w:pPr>
        <w:pStyle w:val="ListParagraph"/>
        <w:numPr>
          <w:ilvl w:val="0"/>
          <w:numId w:val="12"/>
        </w:numPr>
      </w:pPr>
      <w:r w:rsidRPr="00BA5163">
        <w:t>DOT must also ensure that passengers with disabilities may (1) file a complaint with the agency in response to disability-related discrimination, and (2) receive assistance t</w:t>
      </w:r>
      <w:r>
        <w:t>hr</w:t>
      </w:r>
      <w:r w:rsidRPr="00BA5163">
        <w:t>ough a toll-free hotline or other electronic method.</w:t>
      </w:r>
    </w:p>
    <w:p w:rsidR="00BA5163" w:rsidRDefault="00BA5163" w:rsidP="00BA5163"/>
    <w:p w:rsidR="00BA5163" w:rsidRPr="00BA5163" w:rsidRDefault="00BA5163" w:rsidP="00BA5163">
      <w:r w:rsidRPr="00BA5163">
        <w:t>The bill also authorizes DOJ and aggrieved passengers to bring civil actions for discrimination against an air carrier.</w:t>
      </w:r>
    </w:p>
    <w:p w:rsidR="00BA5163" w:rsidRDefault="00BA5163" w:rsidP="00BA5163"/>
    <w:p w:rsidR="00BA5163" w:rsidRPr="00BA5163" w:rsidRDefault="00BA5163" w:rsidP="00310CFD">
      <w:pPr>
        <w:pStyle w:val="Heading3"/>
      </w:pPr>
      <w:proofErr w:type="spellStart"/>
      <w:r w:rsidRPr="00BA5163">
        <w:t>WHEELChairs</w:t>
      </w:r>
      <w:proofErr w:type="spellEnd"/>
      <w:r w:rsidRPr="00BA5163">
        <w:t xml:space="preserve"> on Airplanes Act</w:t>
      </w:r>
      <w:r>
        <w:t>:</w:t>
      </w:r>
      <w:r w:rsidRPr="00BA5163">
        <w:t xml:space="preserve"> </w:t>
      </w:r>
      <w:r>
        <w:t>H.R.</w:t>
      </w:r>
      <w:r w:rsidRPr="00BA5163">
        <w:t xml:space="preserve"> 1772</w:t>
      </w:r>
    </w:p>
    <w:p w:rsidR="00BA5163" w:rsidRDefault="00BA5163" w:rsidP="00BA5163"/>
    <w:p w:rsidR="00BA5163" w:rsidRPr="00BA5163" w:rsidRDefault="00D435DA" w:rsidP="00BA5163">
      <w:r w:rsidRPr="00D435DA">
        <w:rPr>
          <w:rFonts w:ascii="MS Gothic" w:eastAsia="MS Gothic" w:hAnsi="MS Gothic" w:hint="eastAsia"/>
          <w:color w:val="00B050"/>
        </w:rPr>
        <w:t xml:space="preserve">✔ </w:t>
      </w:r>
      <w:r w:rsidR="00BA5163" w:rsidRPr="00BA5163">
        <w:t xml:space="preserve">Position: Support </w:t>
      </w:r>
    </w:p>
    <w:p w:rsidR="00BA5163" w:rsidRPr="00BA5163" w:rsidRDefault="00BA5163" w:rsidP="00BA5163"/>
    <w:p w:rsidR="00BA5163" w:rsidRPr="00BA5163" w:rsidRDefault="00BA5163" w:rsidP="00BA5163">
      <w:r w:rsidRPr="00BA5163">
        <w:t>This bill would amend title 49, United States Code, to prevent discrimination against airline passengers with disabilities who use lithium-ion-powered wheelchairs and mobility aids that are safe for air travel, and for other purposes.</w:t>
      </w:r>
    </w:p>
    <w:p w:rsidR="00BA5163" w:rsidRPr="00BA5163" w:rsidRDefault="00BA5163" w:rsidP="00BA5163"/>
    <w:p w:rsidR="00BA5163" w:rsidRDefault="00BA5163" w:rsidP="00310CFD">
      <w:pPr>
        <w:pStyle w:val="Heading3"/>
      </w:pPr>
      <w:r w:rsidRPr="00BA5163">
        <w:t>Prioritizing Accountability and Accessibili</w:t>
      </w:r>
      <w:r>
        <w:t>ty for Aviation Consumers Act:</w:t>
      </w:r>
      <w:r w:rsidRPr="00BA5163">
        <w:t xml:space="preserve"> </w:t>
      </w:r>
      <w:r>
        <w:t>H.R.</w:t>
      </w:r>
      <w:r w:rsidRPr="00BA5163">
        <w:t xml:space="preserve"> 1445 </w:t>
      </w:r>
      <w:r>
        <w:t xml:space="preserve">/ </w:t>
      </w:r>
      <w:r w:rsidRPr="00BA5163">
        <w:t xml:space="preserve">S. 400 </w:t>
      </w:r>
    </w:p>
    <w:p w:rsidR="00BA5163" w:rsidRPr="00BA5163" w:rsidRDefault="00BA5163" w:rsidP="00BA5163"/>
    <w:p w:rsidR="00BA5163" w:rsidRPr="00BA5163" w:rsidRDefault="00D435DA" w:rsidP="00BA5163">
      <w:r w:rsidRPr="00D435DA">
        <w:rPr>
          <w:rFonts w:ascii="MS Gothic" w:eastAsia="MS Gothic" w:hAnsi="MS Gothic" w:hint="eastAsia"/>
          <w:color w:val="00B050"/>
        </w:rPr>
        <w:t xml:space="preserve">✔ </w:t>
      </w:r>
      <w:r w:rsidR="00BA5163" w:rsidRPr="00BA5163">
        <w:t xml:space="preserve">Position: Support </w:t>
      </w:r>
    </w:p>
    <w:p w:rsidR="00BA5163" w:rsidRPr="00BA5163" w:rsidRDefault="00BA5163" w:rsidP="00BA5163"/>
    <w:p w:rsidR="00BA5163" w:rsidRPr="00BA5163" w:rsidRDefault="00BA5163" w:rsidP="00BA5163">
      <w:r w:rsidRPr="00BA5163">
        <w:t>This bill requires the Department of Transportation (DOT) to annually report on aviation consumer complaints related to passengers with a disability. </w:t>
      </w:r>
    </w:p>
    <w:p w:rsidR="00BA5163" w:rsidRPr="00BA5163" w:rsidRDefault="00BA5163" w:rsidP="00BA5163"/>
    <w:p w:rsidR="00BA5163" w:rsidRPr="00BA5163" w:rsidRDefault="00BA5163" w:rsidP="00BA5163">
      <w:r w:rsidRPr="00BA5163">
        <w:t>Each report must include (1) the number and nature of complaints filed with DOT related to passengers with a disability during the previous five years, (2) an overview of DOT's complaint review process and how quickly complaints are addressed, and (3) the number of complaints DOT referred to other departments and agencies for enforcement action.</w:t>
      </w:r>
    </w:p>
    <w:p w:rsidR="00E15092" w:rsidRDefault="00E15092" w:rsidP="00BA5163"/>
    <w:p w:rsidR="000F029D" w:rsidRDefault="000F029D" w:rsidP="00336FBD">
      <w:pPr>
        <w:pStyle w:val="Heading2"/>
        <w:shd w:val="clear" w:color="auto" w:fill="FDECB5"/>
      </w:pPr>
      <w:bookmarkStart w:id="15" w:name="_Toc138791506"/>
      <w:r>
        <w:t>Healthcare</w:t>
      </w:r>
      <w:bookmarkEnd w:id="15"/>
    </w:p>
    <w:p w:rsidR="000F029D" w:rsidRDefault="000F029D" w:rsidP="000F029D"/>
    <w:p w:rsidR="000F029D" w:rsidRPr="00BA5163" w:rsidRDefault="000F029D" w:rsidP="000F029D">
      <w:pPr>
        <w:pStyle w:val="Heading3"/>
      </w:pPr>
      <w:r w:rsidRPr="00BA5163">
        <w:t>No</w:t>
      </w:r>
      <w:r>
        <w:t xml:space="preserve"> Patient Left Alone Act: </w:t>
      </w:r>
      <w:r w:rsidRPr="00BA5163">
        <w:t>H.R.</w:t>
      </w:r>
      <w:r>
        <w:t xml:space="preserve"> </w:t>
      </w:r>
      <w:r w:rsidRPr="00BA5163">
        <w:t>219</w:t>
      </w:r>
    </w:p>
    <w:p w:rsidR="000F029D" w:rsidRDefault="000F029D" w:rsidP="000F029D"/>
    <w:p w:rsidR="000F029D" w:rsidRPr="00BA5163" w:rsidRDefault="000F029D" w:rsidP="000F029D">
      <w:r>
        <w:rPr>
          <w:rFonts w:ascii="MS Gothic" w:eastAsia="MS Gothic" w:hAnsi="MS Gothic" w:hint="eastAsia"/>
          <w:color w:val="00B050"/>
        </w:rPr>
        <w:t xml:space="preserve">✔ </w:t>
      </w:r>
      <w:r w:rsidRPr="00BA5163">
        <w:t>Position: Support</w:t>
      </w:r>
    </w:p>
    <w:p w:rsidR="000F029D" w:rsidRPr="00BA5163" w:rsidRDefault="000F029D" w:rsidP="000F029D"/>
    <w:p w:rsidR="000F029D" w:rsidRPr="00BA5163" w:rsidRDefault="000F029D" w:rsidP="000F029D">
      <w:r w:rsidRPr="00BA5163">
        <w:t>This bill requires hospitals, as a condition of Medicare participation, to have certain written policies and procedures that provide for patient visitation rights and to inform patients of such rights, including any applicable restrictions.</w:t>
      </w:r>
    </w:p>
    <w:p w:rsidR="000F029D" w:rsidRPr="00BA5163" w:rsidRDefault="000F029D" w:rsidP="000F029D"/>
    <w:p w:rsidR="000F029D" w:rsidRPr="009247A1" w:rsidRDefault="000F029D" w:rsidP="000F029D">
      <w:pPr>
        <w:pStyle w:val="Heading3"/>
      </w:pPr>
      <w:r w:rsidRPr="009247A1">
        <w:t>Protecting Health Care for All Patients Act: H.R. 485</w:t>
      </w:r>
    </w:p>
    <w:p w:rsidR="000F029D" w:rsidRDefault="000F029D" w:rsidP="000F029D">
      <w:pPr>
        <w:rPr>
          <w:highlight w:val="yellow"/>
        </w:rPr>
      </w:pPr>
    </w:p>
    <w:p w:rsidR="000F029D" w:rsidRPr="009247A1" w:rsidRDefault="000F029D" w:rsidP="000F029D">
      <w:r>
        <w:rPr>
          <w:rFonts w:ascii="MS Gothic" w:eastAsia="MS Gothic" w:hAnsi="MS Gothic" w:hint="eastAsia"/>
          <w:color w:val="00B050"/>
        </w:rPr>
        <w:t xml:space="preserve">✔ </w:t>
      </w:r>
      <w:r w:rsidRPr="009247A1">
        <w:t xml:space="preserve">Position: Support </w:t>
      </w:r>
    </w:p>
    <w:p w:rsidR="000F029D" w:rsidRPr="009247A1" w:rsidRDefault="000F029D" w:rsidP="000F029D"/>
    <w:p w:rsidR="000F029D" w:rsidRPr="00BA5163" w:rsidRDefault="000F029D" w:rsidP="000F029D">
      <w:r w:rsidRPr="009247A1">
        <w:t>This bill prohibits all federal health care programs, including the Federal Employees Health Benefits Program, and federally funded state health care programs (e.g., Medicaid) from using prices that are based on quality-adjusted life years (i.e., measures that discount the value of a life based on disability) to determine relevant thresholds for coverage, reimbursements, or incentive programs.</w:t>
      </w:r>
    </w:p>
    <w:p w:rsidR="000F029D" w:rsidRPr="00BA5163" w:rsidRDefault="000F029D" w:rsidP="00BA5163"/>
    <w:p w:rsidR="00BA5163" w:rsidRDefault="00E15092" w:rsidP="00336FBD">
      <w:pPr>
        <w:pStyle w:val="Heading2"/>
        <w:shd w:val="clear" w:color="auto" w:fill="F8B9FF"/>
      </w:pPr>
      <w:bookmarkStart w:id="16" w:name="_Toc138791507"/>
      <w:r>
        <w:t>Civil Rights</w:t>
      </w:r>
      <w:bookmarkEnd w:id="16"/>
    </w:p>
    <w:p w:rsidR="00E15092" w:rsidRPr="00BA5163" w:rsidRDefault="00E15092" w:rsidP="00E15092"/>
    <w:p w:rsidR="00BA5163" w:rsidRPr="00E15092" w:rsidRDefault="00BA5163" w:rsidP="00E15092">
      <w:pPr>
        <w:pStyle w:val="Heading3"/>
      </w:pPr>
      <w:r w:rsidRPr="00E15092">
        <w:t>ACCESS Act: H.R. 241</w:t>
      </w:r>
    </w:p>
    <w:p w:rsidR="00BA5163" w:rsidRDefault="00BA5163" w:rsidP="00BA5163"/>
    <w:p w:rsidR="00BA5163" w:rsidRDefault="00310CFD" w:rsidP="00BA5163">
      <w:r w:rsidRPr="00310CFD">
        <w:rPr>
          <w:rFonts w:ascii="MS Gothic" w:eastAsia="MS Gothic" w:hAnsi="MS Gothic" w:hint="eastAsia"/>
          <w:color w:val="FF0000"/>
        </w:rPr>
        <w:t>✘</w:t>
      </w:r>
      <w:r w:rsidRPr="00310CFD">
        <w:rPr>
          <w:color w:val="FF0000"/>
        </w:rPr>
        <w:t xml:space="preserve"> </w:t>
      </w:r>
      <w:r w:rsidR="00BA5163" w:rsidRPr="00BA5163">
        <w:t xml:space="preserve">Position: </w:t>
      </w:r>
      <w:r w:rsidR="00BA5163">
        <w:t>Strongly o</w:t>
      </w:r>
      <w:r w:rsidR="00BA5163" w:rsidRPr="00BA5163">
        <w:t xml:space="preserve">ppose </w:t>
      </w:r>
    </w:p>
    <w:p w:rsidR="00BA5163" w:rsidRDefault="00BA5163" w:rsidP="00BA5163"/>
    <w:p w:rsidR="00BA5163" w:rsidRPr="00BA5163" w:rsidRDefault="00BA5163" w:rsidP="00BA5163">
      <w:r w:rsidRPr="00BA5163">
        <w:t>This bill would amend the Americans with Disabilities Act of 1990 to promote compliance t</w:t>
      </w:r>
      <w:r>
        <w:t>hr</w:t>
      </w:r>
      <w:r w:rsidRPr="00BA5163">
        <w:t>ough education, to clarify the requirements for demand letters, to provide for a notice and cure period before the commencement of a private civil action, and for other purposes.</w:t>
      </w:r>
      <w:r>
        <w:t xml:space="preserve"> NCIL strongly opposes this legislation because </w:t>
      </w:r>
      <w:r w:rsidRPr="00BA5163">
        <w:t>as it imposes un-necessary burdens on people with disabilities</w:t>
      </w:r>
    </w:p>
    <w:p w:rsidR="001B571B" w:rsidRDefault="001B571B">
      <w:pPr>
        <w:spacing w:after="160" w:line="259" w:lineRule="auto"/>
      </w:pPr>
      <w:r>
        <w:br w:type="page"/>
      </w:r>
    </w:p>
    <w:p w:rsidR="00E15092" w:rsidRDefault="00E15092" w:rsidP="00E15092">
      <w:pPr>
        <w:pStyle w:val="Heading3"/>
      </w:pPr>
      <w:r w:rsidRPr="00BA5163">
        <w:lastRenderedPageBreak/>
        <w:t>Guardianship Bill of Rights Act (</w:t>
      </w:r>
      <w:r>
        <w:t xml:space="preserve">118th Congress: </w:t>
      </w:r>
      <w:r w:rsidRPr="00BA5163">
        <w:t xml:space="preserve">S. 1148) </w:t>
      </w:r>
    </w:p>
    <w:p w:rsidR="00E15092" w:rsidRPr="00BA5163" w:rsidRDefault="00E15092" w:rsidP="00E15092"/>
    <w:p w:rsidR="00E15092" w:rsidRPr="00BA5163" w:rsidRDefault="00E15092" w:rsidP="00E15092">
      <w:r>
        <w:rPr>
          <w:rFonts w:ascii="MS Gothic" w:eastAsia="MS Gothic" w:hAnsi="MS Gothic" w:hint="eastAsia"/>
          <w:color w:val="00B050"/>
        </w:rPr>
        <w:t xml:space="preserve">✔ </w:t>
      </w:r>
      <w:r w:rsidRPr="00BA5163">
        <w:t>Position: Support</w:t>
      </w:r>
    </w:p>
    <w:p w:rsidR="00E15092" w:rsidRPr="00BA5163" w:rsidRDefault="00E15092" w:rsidP="00E15092"/>
    <w:p w:rsidR="00E15092" w:rsidRDefault="00E15092" w:rsidP="00E15092">
      <w:r w:rsidRPr="00BA5163">
        <w:t>A bill to establish rights for people being considered for and in protective arrangements, including guardianships and conservatorships, or other arrangements, to provide decision supports.</w:t>
      </w:r>
    </w:p>
    <w:p w:rsidR="00E15092" w:rsidRDefault="00E15092" w:rsidP="00BA5163"/>
    <w:p w:rsidR="00E15092" w:rsidRPr="00BA5163" w:rsidRDefault="00E15092" w:rsidP="00336FBD">
      <w:pPr>
        <w:pStyle w:val="Heading2"/>
        <w:shd w:val="clear" w:color="auto" w:fill="FDECB5"/>
      </w:pPr>
      <w:bookmarkStart w:id="17" w:name="_Toc138791508"/>
      <w:r>
        <w:t>Voting Rights</w:t>
      </w:r>
      <w:bookmarkEnd w:id="17"/>
    </w:p>
    <w:p w:rsidR="00E15092" w:rsidRDefault="00E15092" w:rsidP="00E15092"/>
    <w:p w:rsidR="00BA5163" w:rsidRDefault="00BA5163" w:rsidP="00E15092">
      <w:pPr>
        <w:pStyle w:val="Heading3"/>
      </w:pPr>
      <w:r w:rsidRPr="00BA5163">
        <w:t>S</w:t>
      </w:r>
      <w:r>
        <w:t xml:space="preserve">ame Day Registration Act (118th Congress: </w:t>
      </w:r>
      <w:r w:rsidRPr="00BA5163">
        <w:t>H.R.</w:t>
      </w:r>
      <w:r w:rsidR="002C4A5F">
        <w:t xml:space="preserve"> </w:t>
      </w:r>
      <w:r w:rsidRPr="00BA5163">
        <w:t>239</w:t>
      </w:r>
      <w:r>
        <w:t>)</w:t>
      </w:r>
    </w:p>
    <w:p w:rsidR="00BA5163" w:rsidRPr="00BA5163" w:rsidRDefault="00BA5163" w:rsidP="00BA5163"/>
    <w:p w:rsidR="00BA5163" w:rsidRDefault="00310CFD" w:rsidP="00BE49B4">
      <w:r>
        <w:rPr>
          <w:rFonts w:ascii="MS Gothic" w:eastAsia="MS Gothic" w:hAnsi="MS Gothic" w:hint="eastAsia"/>
          <w:color w:val="00B050"/>
        </w:rPr>
        <w:t xml:space="preserve">✔ </w:t>
      </w:r>
      <w:r w:rsidR="00BA5163" w:rsidRPr="00BA5163">
        <w:t xml:space="preserve">Position: </w:t>
      </w:r>
      <w:r w:rsidR="00BE49B4" w:rsidRPr="00BA5163">
        <w:t>Support</w:t>
      </w:r>
    </w:p>
    <w:p w:rsidR="00BA5163" w:rsidRDefault="00BA5163" w:rsidP="00BA5163"/>
    <w:p w:rsidR="00BA5163" w:rsidRPr="00BA5163" w:rsidRDefault="00BA5163" w:rsidP="00BA5163">
      <w:r>
        <w:t>NCIL s</w:t>
      </w:r>
      <w:r w:rsidRPr="00BA5163">
        <w:t>upports this legislation as it provides same day voter registration for all people and removes Barriers faced by person with disabilities in registering to vote.</w:t>
      </w:r>
    </w:p>
    <w:p w:rsidR="00BA5163" w:rsidRPr="00BA5163" w:rsidRDefault="00BA5163" w:rsidP="00BA5163"/>
    <w:p w:rsidR="00BA5163" w:rsidRPr="00BA5163" w:rsidRDefault="00BA5163" w:rsidP="00BA5163">
      <w:r w:rsidRPr="00BA5163">
        <w:t>To amend the Help America Vote Act of 2002 to require States to provide for same day registration. This bill requires states with a voter registration requirement to make same-day voter registration available at the polling place on any day voting is permitted.</w:t>
      </w:r>
    </w:p>
    <w:p w:rsidR="009247A1" w:rsidRDefault="009247A1" w:rsidP="00BA5163"/>
    <w:p w:rsidR="000F029D" w:rsidRDefault="000F029D" w:rsidP="00336FBD">
      <w:pPr>
        <w:pStyle w:val="Heading2"/>
        <w:shd w:val="clear" w:color="auto" w:fill="F8B9FF"/>
      </w:pPr>
      <w:bookmarkStart w:id="18" w:name="_Toc138791509"/>
      <w:r>
        <w:t>Education &amp; Youth</w:t>
      </w:r>
      <w:bookmarkEnd w:id="18"/>
    </w:p>
    <w:p w:rsidR="000F029D" w:rsidRDefault="000F029D" w:rsidP="000F029D"/>
    <w:p w:rsidR="000F029D" w:rsidRDefault="000F029D" w:rsidP="000F029D">
      <w:pPr>
        <w:pStyle w:val="Heading3"/>
      </w:pPr>
      <w:r w:rsidRPr="00BA5163">
        <w:t>Keeping All Students Safe Act</w:t>
      </w:r>
      <w:r>
        <w:t>:</w:t>
      </w:r>
      <w:r w:rsidRPr="00BA5163">
        <w:t xml:space="preserve"> </w:t>
      </w:r>
      <w:r>
        <w:t>H.R.</w:t>
      </w:r>
      <w:r w:rsidRPr="00BA5163">
        <w:t xml:space="preserve"> 3470 </w:t>
      </w:r>
    </w:p>
    <w:p w:rsidR="000F029D" w:rsidRPr="00BA5163" w:rsidRDefault="000F029D" w:rsidP="000F029D"/>
    <w:p w:rsidR="000F029D" w:rsidRPr="00BA5163" w:rsidRDefault="000F029D" w:rsidP="000F029D">
      <w:r>
        <w:rPr>
          <w:rFonts w:ascii="MS Gothic" w:eastAsia="MS Gothic" w:hAnsi="MS Gothic" w:hint="eastAsia"/>
          <w:color w:val="00B050"/>
        </w:rPr>
        <w:t xml:space="preserve">✔ </w:t>
      </w:r>
      <w:r w:rsidRPr="00BA5163">
        <w:t xml:space="preserve">Position: Support </w:t>
      </w:r>
    </w:p>
    <w:p w:rsidR="000F029D" w:rsidRPr="00BA5163" w:rsidRDefault="000F029D" w:rsidP="000F029D"/>
    <w:p w:rsidR="000F029D" w:rsidRPr="00BA5163" w:rsidRDefault="000F029D" w:rsidP="000F029D">
      <w:r w:rsidRPr="00BA5163">
        <w:t xml:space="preserve">This bill would prohibit and prevent seclusion, mechanical restraint, chemical restraint, and dangerous restraints that restrict breathing, and to prevent and reduce the use of physical restraint in schools. </w:t>
      </w:r>
    </w:p>
    <w:p w:rsidR="000F029D" w:rsidRDefault="000F029D" w:rsidP="000F029D"/>
    <w:p w:rsidR="000F029D" w:rsidRPr="00BA5163" w:rsidRDefault="000F029D" w:rsidP="000F029D">
      <w:pPr>
        <w:pStyle w:val="Heading3"/>
      </w:pPr>
      <w:r w:rsidRPr="00BA5163">
        <w:t xml:space="preserve">International Children with Disabilities </w:t>
      </w:r>
      <w:r>
        <w:t xml:space="preserve">Protection Act: </w:t>
      </w:r>
      <w:r w:rsidRPr="00BA5163">
        <w:t>S</w:t>
      </w:r>
      <w:r>
        <w:t>.</w:t>
      </w:r>
      <w:r w:rsidRPr="00BA5163">
        <w:t xml:space="preserve"> 847</w:t>
      </w:r>
    </w:p>
    <w:p w:rsidR="000F029D" w:rsidRDefault="000F029D" w:rsidP="000F029D"/>
    <w:p w:rsidR="000F029D" w:rsidRPr="00BA5163" w:rsidRDefault="000F029D" w:rsidP="000F029D">
      <w:r>
        <w:rPr>
          <w:rFonts w:ascii="MS Gothic" w:eastAsia="MS Gothic" w:hAnsi="MS Gothic" w:hint="eastAsia"/>
          <w:color w:val="00B050"/>
        </w:rPr>
        <w:t xml:space="preserve">✔ </w:t>
      </w:r>
      <w:r w:rsidRPr="00BA5163">
        <w:t xml:space="preserve">Position: Support </w:t>
      </w:r>
    </w:p>
    <w:p w:rsidR="000F029D" w:rsidRPr="00BA5163" w:rsidRDefault="000F029D" w:rsidP="000F029D"/>
    <w:p w:rsidR="000F029D" w:rsidRDefault="000F029D" w:rsidP="000F029D">
      <w:r w:rsidRPr="00BA5163">
        <w:t xml:space="preserve">This bill would establish the International Children with Disabilities Protection Program within the Department of State. The purpose of this program is to assist organizations of persons with disabilities in communicating about and advocating for policies that ensure the family inclusion and transition to independent living of children with disabilities. </w:t>
      </w:r>
    </w:p>
    <w:p w:rsidR="000F029D" w:rsidRDefault="000F029D" w:rsidP="00BA5163"/>
    <w:p w:rsidR="009247A1" w:rsidRDefault="009247A1" w:rsidP="00BA5163"/>
    <w:p w:rsidR="005D7633" w:rsidRDefault="005D7633">
      <w:pPr>
        <w:spacing w:after="160" w:line="259" w:lineRule="auto"/>
      </w:pPr>
      <w:r>
        <w:br w:type="page"/>
      </w:r>
    </w:p>
    <w:p w:rsidR="005D7633" w:rsidRDefault="005D7633"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Default="009E0C34" w:rsidP="00BA5163"/>
    <w:p w:rsidR="009E0C34" w:rsidRPr="006A5E9F" w:rsidRDefault="009E0C34" w:rsidP="00BA5163">
      <w:pPr>
        <w:rPr>
          <w:sz w:val="28"/>
          <w:szCs w:val="28"/>
        </w:rPr>
      </w:pPr>
      <w:r w:rsidRPr="006A5E9F">
        <w:rPr>
          <w:sz w:val="28"/>
          <w:szCs w:val="28"/>
        </w:rPr>
        <w:t>Submit your Hill Report Form at surveymonkey.com/r/</w:t>
      </w:r>
      <w:proofErr w:type="spellStart"/>
      <w:r w:rsidRPr="006A5E9F">
        <w:rPr>
          <w:sz w:val="28"/>
          <w:szCs w:val="28"/>
        </w:rPr>
        <w:t>hillvisit</w:t>
      </w:r>
      <w:proofErr w:type="spellEnd"/>
      <w:r w:rsidRPr="006A5E9F">
        <w:rPr>
          <w:sz w:val="28"/>
          <w:szCs w:val="28"/>
        </w:rPr>
        <w:t xml:space="preserve"> </w:t>
      </w:r>
    </w:p>
    <w:sectPr w:rsidR="009E0C34" w:rsidRPr="006A5E9F" w:rsidSect="009B438F">
      <w:footerReference w:type="default" r:id="rId3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7B" w:rsidRDefault="0060787B" w:rsidP="00E13F7B">
      <w:r>
        <w:separator/>
      </w:r>
    </w:p>
  </w:endnote>
  <w:endnote w:type="continuationSeparator" w:id="0">
    <w:p w:rsidR="0060787B" w:rsidRDefault="0060787B" w:rsidP="00E1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25110"/>
      <w:docPartObj>
        <w:docPartGallery w:val="Page Numbers (Bottom of Page)"/>
        <w:docPartUnique/>
      </w:docPartObj>
    </w:sdtPr>
    <w:sdtEndPr>
      <w:rPr>
        <w:noProof/>
      </w:rPr>
    </w:sdtEndPr>
    <w:sdtContent>
      <w:p w:rsidR="005D7633" w:rsidRDefault="005D7633">
        <w:pPr>
          <w:pStyle w:val="Footer"/>
          <w:jc w:val="right"/>
        </w:pPr>
        <w:r>
          <w:fldChar w:fldCharType="begin"/>
        </w:r>
        <w:r>
          <w:instrText xml:space="preserve"> PAGE   \* MERGEFORMAT </w:instrText>
        </w:r>
        <w:r>
          <w:fldChar w:fldCharType="separate"/>
        </w:r>
        <w:r w:rsidR="001B571B">
          <w:rPr>
            <w:noProof/>
          </w:rPr>
          <w:t>16</w:t>
        </w:r>
        <w:r>
          <w:rPr>
            <w:noProof/>
          </w:rPr>
          <w:fldChar w:fldCharType="end"/>
        </w:r>
      </w:p>
    </w:sdtContent>
  </w:sdt>
  <w:p w:rsidR="005D7633" w:rsidRDefault="005D76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7B" w:rsidRDefault="0060787B" w:rsidP="00E13F7B">
      <w:r>
        <w:separator/>
      </w:r>
    </w:p>
  </w:footnote>
  <w:footnote w:type="continuationSeparator" w:id="0">
    <w:p w:rsidR="0060787B" w:rsidRDefault="0060787B" w:rsidP="00E13F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BF5"/>
    <w:multiLevelType w:val="hybridMultilevel"/>
    <w:tmpl w:val="BC8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51831"/>
    <w:multiLevelType w:val="multilevel"/>
    <w:tmpl w:val="804A3C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6F60BB0"/>
    <w:multiLevelType w:val="hybridMultilevel"/>
    <w:tmpl w:val="D3947B38"/>
    <w:lvl w:ilvl="0" w:tplc="BA04BB2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C0221"/>
    <w:multiLevelType w:val="hybridMultilevel"/>
    <w:tmpl w:val="DA56950E"/>
    <w:lvl w:ilvl="0" w:tplc="BA04BB2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1CD6"/>
    <w:multiLevelType w:val="hybridMultilevel"/>
    <w:tmpl w:val="F05C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04174"/>
    <w:multiLevelType w:val="hybridMultilevel"/>
    <w:tmpl w:val="7724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30CB3"/>
    <w:multiLevelType w:val="multilevel"/>
    <w:tmpl w:val="DB504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466889"/>
    <w:multiLevelType w:val="hybridMultilevel"/>
    <w:tmpl w:val="24EE45B6"/>
    <w:lvl w:ilvl="0" w:tplc="BA04BB2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621B3"/>
    <w:multiLevelType w:val="multilevel"/>
    <w:tmpl w:val="FB92D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C62F9D"/>
    <w:multiLevelType w:val="hybridMultilevel"/>
    <w:tmpl w:val="94B6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441DB"/>
    <w:multiLevelType w:val="hybridMultilevel"/>
    <w:tmpl w:val="5D0AD1A4"/>
    <w:lvl w:ilvl="0" w:tplc="BA04BB2A">
      <w:start w:val="202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41B99"/>
    <w:multiLevelType w:val="hybridMultilevel"/>
    <w:tmpl w:val="F65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95218"/>
    <w:multiLevelType w:val="multilevel"/>
    <w:tmpl w:val="63E841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E6E69DD"/>
    <w:multiLevelType w:val="hybridMultilevel"/>
    <w:tmpl w:val="061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E2378"/>
    <w:multiLevelType w:val="hybridMultilevel"/>
    <w:tmpl w:val="F5E2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6107B"/>
    <w:multiLevelType w:val="hybridMultilevel"/>
    <w:tmpl w:val="FEFE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12C60"/>
    <w:multiLevelType w:val="hybridMultilevel"/>
    <w:tmpl w:val="27402E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12"/>
  </w:num>
  <w:num w:numId="5">
    <w:abstractNumId w:val="8"/>
  </w:num>
  <w:num w:numId="6">
    <w:abstractNumId w:val="3"/>
  </w:num>
  <w:num w:numId="7">
    <w:abstractNumId w:val="10"/>
  </w:num>
  <w:num w:numId="8">
    <w:abstractNumId w:val="16"/>
  </w:num>
  <w:num w:numId="9">
    <w:abstractNumId w:val="1"/>
  </w:num>
  <w:num w:numId="10">
    <w:abstractNumId w:val="5"/>
  </w:num>
  <w:num w:numId="11">
    <w:abstractNumId w:val="15"/>
  </w:num>
  <w:num w:numId="12">
    <w:abstractNumId w:val="9"/>
  </w:num>
  <w:num w:numId="13">
    <w:abstractNumId w:val="4"/>
  </w:num>
  <w:num w:numId="14">
    <w:abstractNumId w:val="11"/>
  </w:num>
  <w:num w:numId="15">
    <w:abstractNumId w:val="1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63"/>
    <w:rsid w:val="000F029D"/>
    <w:rsid w:val="001339AA"/>
    <w:rsid w:val="001B571B"/>
    <w:rsid w:val="001D4856"/>
    <w:rsid w:val="0023718D"/>
    <w:rsid w:val="002B2FFB"/>
    <w:rsid w:val="002C19F0"/>
    <w:rsid w:val="002C4A5F"/>
    <w:rsid w:val="002D1358"/>
    <w:rsid w:val="00310CFD"/>
    <w:rsid w:val="00336FBD"/>
    <w:rsid w:val="003B2305"/>
    <w:rsid w:val="003B6D3D"/>
    <w:rsid w:val="00405A5C"/>
    <w:rsid w:val="0046174B"/>
    <w:rsid w:val="004C197A"/>
    <w:rsid w:val="005464DD"/>
    <w:rsid w:val="00582C4A"/>
    <w:rsid w:val="00583A47"/>
    <w:rsid w:val="005A7818"/>
    <w:rsid w:val="005D37E9"/>
    <w:rsid w:val="005D7633"/>
    <w:rsid w:val="00606453"/>
    <w:rsid w:val="0060787B"/>
    <w:rsid w:val="00633032"/>
    <w:rsid w:val="006A5E9F"/>
    <w:rsid w:val="006C0627"/>
    <w:rsid w:val="00730D1D"/>
    <w:rsid w:val="007830D2"/>
    <w:rsid w:val="007C27C8"/>
    <w:rsid w:val="007F4717"/>
    <w:rsid w:val="0083668B"/>
    <w:rsid w:val="00885604"/>
    <w:rsid w:val="008E7281"/>
    <w:rsid w:val="009247A1"/>
    <w:rsid w:val="009B438F"/>
    <w:rsid w:val="009E0C34"/>
    <w:rsid w:val="00A271E9"/>
    <w:rsid w:val="00A27403"/>
    <w:rsid w:val="00AC799A"/>
    <w:rsid w:val="00B038F0"/>
    <w:rsid w:val="00B52856"/>
    <w:rsid w:val="00B96F39"/>
    <w:rsid w:val="00BA5163"/>
    <w:rsid w:val="00BB4A96"/>
    <w:rsid w:val="00BD5A62"/>
    <w:rsid w:val="00BE49B4"/>
    <w:rsid w:val="00D435DA"/>
    <w:rsid w:val="00E112E2"/>
    <w:rsid w:val="00E13F7B"/>
    <w:rsid w:val="00E15092"/>
    <w:rsid w:val="00E5612A"/>
    <w:rsid w:val="00E74302"/>
    <w:rsid w:val="00F313B7"/>
    <w:rsid w:val="00FA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1F53C-204A-4973-BE1A-F58ED795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163"/>
    <w:pPr>
      <w:spacing w:after="0" w:line="240" w:lineRule="auto"/>
    </w:pPr>
    <w:rPr>
      <w:rFonts w:ascii="Arial" w:hAnsi="Arial"/>
      <w:kern w:val="2"/>
      <w:sz w:val="24"/>
      <w:szCs w:val="24"/>
      <w14:ligatures w14:val="standardContextual"/>
    </w:rPr>
  </w:style>
  <w:style w:type="paragraph" w:styleId="Heading1">
    <w:name w:val="heading 1"/>
    <w:basedOn w:val="Normal"/>
    <w:next w:val="Normal"/>
    <w:link w:val="Heading1Char"/>
    <w:uiPriority w:val="9"/>
    <w:qFormat/>
    <w:rsid w:val="00BA5163"/>
    <w:pPr>
      <w:keepNext/>
      <w:keepLines/>
      <w:spacing w:before="240" w:line="259" w:lineRule="auto"/>
      <w:outlineLvl w:val="0"/>
    </w:pPr>
    <w:rPr>
      <w:rFonts w:eastAsiaTheme="majorEastAsia" w:cstheme="majorBidi"/>
      <w:caps/>
      <w:kern w:val="0"/>
      <w:sz w:val="40"/>
      <w:szCs w:val="32"/>
      <w14:ligatures w14:val="none"/>
    </w:rPr>
  </w:style>
  <w:style w:type="paragraph" w:styleId="Heading2">
    <w:name w:val="heading 2"/>
    <w:basedOn w:val="Normal"/>
    <w:link w:val="Heading2Char"/>
    <w:uiPriority w:val="9"/>
    <w:unhideWhenUsed/>
    <w:qFormat/>
    <w:rsid w:val="00BA5163"/>
    <w:pPr>
      <w:spacing w:before="100" w:beforeAutospacing="1" w:after="100" w:afterAutospacing="1"/>
      <w:outlineLvl w:val="1"/>
    </w:pPr>
    <w:rPr>
      <w:rFonts w:eastAsia="Times New Roman" w:cs="Times New Roman"/>
      <w:bCs/>
      <w:kern w:val="0"/>
      <w:sz w:val="32"/>
      <w:szCs w:val="36"/>
      <w14:ligatures w14:val="none"/>
    </w:rPr>
  </w:style>
  <w:style w:type="paragraph" w:styleId="Heading3">
    <w:name w:val="heading 3"/>
    <w:basedOn w:val="Normal"/>
    <w:next w:val="Normal"/>
    <w:link w:val="Heading3Char"/>
    <w:uiPriority w:val="9"/>
    <w:unhideWhenUsed/>
    <w:qFormat/>
    <w:rsid w:val="00BA5163"/>
    <w:pPr>
      <w:keepNext/>
      <w:keepLines/>
      <w:spacing w:before="40"/>
      <w:outlineLvl w:val="2"/>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163"/>
    <w:rPr>
      <w:rFonts w:ascii="Arial" w:eastAsiaTheme="majorEastAsia" w:hAnsi="Arial" w:cstheme="majorBidi"/>
      <w:caps/>
      <w:sz w:val="40"/>
      <w:szCs w:val="32"/>
    </w:rPr>
  </w:style>
  <w:style w:type="character" w:customStyle="1" w:styleId="Heading2Char">
    <w:name w:val="Heading 2 Char"/>
    <w:basedOn w:val="DefaultParagraphFont"/>
    <w:link w:val="Heading2"/>
    <w:uiPriority w:val="9"/>
    <w:rsid w:val="00BA5163"/>
    <w:rPr>
      <w:rFonts w:ascii="Arial" w:eastAsia="Times New Roman" w:hAnsi="Arial" w:cs="Times New Roman"/>
      <w:bCs/>
      <w:sz w:val="32"/>
      <w:szCs w:val="36"/>
    </w:rPr>
  </w:style>
  <w:style w:type="paragraph" w:styleId="ListParagraph">
    <w:name w:val="List Paragraph"/>
    <w:basedOn w:val="Normal"/>
    <w:uiPriority w:val="34"/>
    <w:qFormat/>
    <w:rsid w:val="00BA5163"/>
    <w:pPr>
      <w:ind w:left="720"/>
      <w:contextualSpacing/>
    </w:pPr>
  </w:style>
  <w:style w:type="character" w:styleId="Hyperlink">
    <w:name w:val="Hyperlink"/>
    <w:basedOn w:val="DefaultParagraphFont"/>
    <w:uiPriority w:val="99"/>
    <w:unhideWhenUsed/>
    <w:rsid w:val="00BA5163"/>
    <w:rPr>
      <w:color w:val="0563C1" w:themeColor="hyperlink"/>
      <w:u w:val="single"/>
    </w:rPr>
  </w:style>
  <w:style w:type="paragraph" w:customStyle="1" w:styleId="xmsolistparagraph">
    <w:name w:val="x_msolistparagraph"/>
    <w:basedOn w:val="Normal"/>
    <w:rsid w:val="00BA5163"/>
    <w:pPr>
      <w:spacing w:before="100" w:beforeAutospacing="1" w:after="100" w:afterAutospacing="1"/>
    </w:pPr>
    <w:rPr>
      <w:rFonts w:ascii="Times New Roman" w:eastAsia="Times New Roman" w:hAnsi="Times New Roman" w:cs="Times New Roman"/>
      <w:kern w:val="0"/>
      <w14:ligatures w14:val="none"/>
    </w:rPr>
  </w:style>
  <w:style w:type="paragraph" w:styleId="Title">
    <w:name w:val="Title"/>
    <w:basedOn w:val="Normal"/>
    <w:next w:val="Normal"/>
    <w:link w:val="TitleChar"/>
    <w:uiPriority w:val="10"/>
    <w:qFormat/>
    <w:rsid w:val="00BA516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A5163"/>
    <w:rPr>
      <w:rFonts w:ascii="Arial" w:eastAsiaTheme="majorEastAsia" w:hAnsi="Arial" w:cstheme="majorBidi"/>
      <w:spacing w:val="-10"/>
      <w:kern w:val="28"/>
      <w:sz w:val="56"/>
      <w:szCs w:val="56"/>
      <w14:ligatures w14:val="standardContextual"/>
    </w:rPr>
  </w:style>
  <w:style w:type="character" w:customStyle="1" w:styleId="Heading3Char">
    <w:name w:val="Heading 3 Char"/>
    <w:basedOn w:val="DefaultParagraphFont"/>
    <w:link w:val="Heading3"/>
    <w:uiPriority w:val="9"/>
    <w:rsid w:val="00BA5163"/>
    <w:rPr>
      <w:rFonts w:ascii="Arial" w:eastAsiaTheme="majorEastAsia" w:hAnsi="Arial" w:cstheme="majorBidi"/>
      <w:kern w:val="2"/>
      <w:sz w:val="28"/>
      <w:szCs w:val="24"/>
      <w14:ligatures w14:val="standardContextual"/>
    </w:rPr>
  </w:style>
  <w:style w:type="character" w:styleId="FollowedHyperlink">
    <w:name w:val="FollowedHyperlink"/>
    <w:basedOn w:val="DefaultParagraphFont"/>
    <w:uiPriority w:val="99"/>
    <w:semiHidden/>
    <w:unhideWhenUsed/>
    <w:rsid w:val="00BB4A96"/>
    <w:rPr>
      <w:color w:val="954F72" w:themeColor="followedHyperlink"/>
      <w:u w:val="single"/>
    </w:rPr>
  </w:style>
  <w:style w:type="paragraph" w:styleId="TOC1">
    <w:name w:val="toc 1"/>
    <w:basedOn w:val="Normal"/>
    <w:next w:val="Normal"/>
    <w:autoRedefine/>
    <w:uiPriority w:val="39"/>
    <w:unhideWhenUsed/>
    <w:rsid w:val="00E13F7B"/>
    <w:pPr>
      <w:spacing w:after="100"/>
    </w:pPr>
  </w:style>
  <w:style w:type="paragraph" w:styleId="TOC2">
    <w:name w:val="toc 2"/>
    <w:basedOn w:val="Normal"/>
    <w:next w:val="Normal"/>
    <w:autoRedefine/>
    <w:uiPriority w:val="39"/>
    <w:unhideWhenUsed/>
    <w:rsid w:val="00E13F7B"/>
    <w:pPr>
      <w:spacing w:after="100"/>
      <w:ind w:left="240"/>
    </w:pPr>
  </w:style>
  <w:style w:type="paragraph" w:styleId="TOC3">
    <w:name w:val="toc 3"/>
    <w:basedOn w:val="Normal"/>
    <w:next w:val="Normal"/>
    <w:autoRedefine/>
    <w:uiPriority w:val="39"/>
    <w:unhideWhenUsed/>
    <w:rsid w:val="00E13F7B"/>
    <w:pPr>
      <w:spacing w:after="100"/>
      <w:ind w:left="480"/>
    </w:pPr>
  </w:style>
  <w:style w:type="paragraph" w:styleId="Header">
    <w:name w:val="header"/>
    <w:basedOn w:val="Normal"/>
    <w:link w:val="HeaderChar"/>
    <w:uiPriority w:val="99"/>
    <w:unhideWhenUsed/>
    <w:rsid w:val="00E13F7B"/>
    <w:pPr>
      <w:tabs>
        <w:tab w:val="center" w:pos="4680"/>
        <w:tab w:val="right" w:pos="9360"/>
      </w:tabs>
    </w:pPr>
  </w:style>
  <w:style w:type="character" w:customStyle="1" w:styleId="HeaderChar">
    <w:name w:val="Header Char"/>
    <w:basedOn w:val="DefaultParagraphFont"/>
    <w:link w:val="Header"/>
    <w:uiPriority w:val="99"/>
    <w:rsid w:val="00E13F7B"/>
    <w:rPr>
      <w:rFonts w:ascii="Arial" w:hAnsi="Arial"/>
      <w:kern w:val="2"/>
      <w:sz w:val="24"/>
      <w:szCs w:val="24"/>
      <w14:ligatures w14:val="standardContextual"/>
    </w:rPr>
  </w:style>
  <w:style w:type="paragraph" w:styleId="Footer">
    <w:name w:val="footer"/>
    <w:basedOn w:val="Normal"/>
    <w:link w:val="FooterChar"/>
    <w:uiPriority w:val="99"/>
    <w:unhideWhenUsed/>
    <w:rsid w:val="00E13F7B"/>
    <w:pPr>
      <w:tabs>
        <w:tab w:val="center" w:pos="4680"/>
        <w:tab w:val="right" w:pos="9360"/>
      </w:tabs>
    </w:pPr>
  </w:style>
  <w:style w:type="character" w:customStyle="1" w:styleId="FooterChar">
    <w:name w:val="Footer Char"/>
    <w:basedOn w:val="DefaultParagraphFont"/>
    <w:link w:val="Footer"/>
    <w:uiPriority w:val="99"/>
    <w:rsid w:val="00E13F7B"/>
    <w:rPr>
      <w:rFonts w:ascii="Arial" w:hAnsi="Arial"/>
      <w:kern w:val="2"/>
      <w:sz w:val="24"/>
      <w:szCs w:val="24"/>
      <w14:ligatures w14:val="standardContextual"/>
    </w:rPr>
  </w:style>
  <w:style w:type="paragraph" w:styleId="BalloonText">
    <w:name w:val="Balloon Text"/>
    <w:basedOn w:val="Normal"/>
    <w:link w:val="BalloonTextChar"/>
    <w:uiPriority w:val="99"/>
    <w:semiHidden/>
    <w:unhideWhenUsed/>
    <w:rsid w:val="002D1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358"/>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5101">
      <w:bodyDiv w:val="1"/>
      <w:marLeft w:val="0"/>
      <w:marRight w:val="0"/>
      <w:marTop w:val="0"/>
      <w:marBottom w:val="0"/>
      <w:divBdr>
        <w:top w:val="none" w:sz="0" w:space="0" w:color="auto"/>
        <w:left w:val="none" w:sz="0" w:space="0" w:color="auto"/>
        <w:bottom w:val="none" w:sz="0" w:space="0" w:color="auto"/>
        <w:right w:val="none" w:sz="0" w:space="0" w:color="auto"/>
      </w:divBdr>
    </w:div>
    <w:div w:id="1704016372">
      <w:bodyDiv w:val="1"/>
      <w:marLeft w:val="0"/>
      <w:marRight w:val="0"/>
      <w:marTop w:val="0"/>
      <w:marBottom w:val="0"/>
      <w:divBdr>
        <w:top w:val="none" w:sz="0" w:space="0" w:color="auto"/>
        <w:left w:val="none" w:sz="0" w:space="0" w:color="auto"/>
        <w:bottom w:val="none" w:sz="0" w:space="0" w:color="auto"/>
        <w:right w:val="none" w:sz="0" w:space="0" w:color="auto"/>
      </w:divBdr>
    </w:div>
    <w:div w:id="1841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bit.ly/3CRGn6l"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yperlink" Target="https://bit.ly/43JcsZ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bit.ly/3qPJk4B"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bit.ly/3CBRxvL" TargetMode="External"/><Relationship Id="rId28" Type="http://schemas.openxmlformats.org/officeDocument/2006/relationships/hyperlink" Target="https://bit.ly/3CzfLGN" TargetMode="External"/><Relationship Id="rId10" Type="http://schemas.openxmlformats.org/officeDocument/2006/relationships/image" Target="media/image3.png"/><Relationship Id="rId19" Type="http://schemas.openxmlformats.org/officeDocument/2006/relationships/hyperlink" Target="http://bit.ly/3YkubUG" TargetMode="External"/><Relationship Id="rId31" Type="http://schemas.openxmlformats.org/officeDocument/2006/relationships/hyperlink" Target="https://tinyurl.com/bdfmz95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bit.ly/3Pj0gdM" TargetMode="External"/><Relationship Id="rId30" Type="http://schemas.openxmlformats.org/officeDocument/2006/relationships/image" Target="media/image16.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7864D-A05C-4393-BC10-7DE2C74C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6915</TotalTime>
  <Pages>16</Pages>
  <Words>4113</Words>
  <Characters>23286</Characters>
  <Application>Microsoft Office Word</Application>
  <DocSecurity>0</DocSecurity>
  <Lines>684</Lines>
  <Paragraphs>260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26</cp:revision>
  <cp:lastPrinted>2023-06-30T18:00:00Z</cp:lastPrinted>
  <dcterms:created xsi:type="dcterms:W3CDTF">2023-06-17T00:44:00Z</dcterms:created>
  <dcterms:modified xsi:type="dcterms:W3CDTF">2023-06-30T18:03:00Z</dcterms:modified>
</cp:coreProperties>
</file>