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E9368E" w14:textId="77777777" w:rsidR="00074149" w:rsidRPr="00626028" w:rsidRDefault="00074149" w:rsidP="00074149">
      <w:pPr>
        <w:rPr>
          <w:rFonts w:ascii="Arial" w:hAnsi="Arial" w:cs="Arial"/>
        </w:rPr>
      </w:pPr>
      <w:r>
        <w:rPr>
          <w:rFonts w:ascii="Arial" w:hAnsi="Arial" w:cs="Arial"/>
        </w:rPr>
        <w:t>June 25</w:t>
      </w:r>
      <w:r w:rsidRPr="00626028">
        <w:rPr>
          <w:rFonts w:ascii="Arial" w:hAnsi="Arial" w:cs="Arial"/>
        </w:rPr>
        <w:t>, 201</w:t>
      </w:r>
      <w:r>
        <w:rPr>
          <w:rFonts w:ascii="Arial" w:hAnsi="Arial" w:cs="Arial"/>
        </w:rPr>
        <w:t>9</w:t>
      </w:r>
    </w:p>
    <w:p w14:paraId="59DEB037" w14:textId="77777777" w:rsidR="00074149" w:rsidRPr="00626028" w:rsidRDefault="00074149" w:rsidP="00074149">
      <w:pPr>
        <w:rPr>
          <w:rFonts w:ascii="Arial" w:hAnsi="Arial" w:cs="Arial"/>
        </w:rPr>
      </w:pPr>
      <w:r w:rsidRPr="00626028">
        <w:rPr>
          <w:rFonts w:ascii="Arial" w:hAnsi="Arial" w:cs="Arial"/>
        </w:rPr>
        <w:t xml:space="preserve"> </w:t>
      </w:r>
    </w:p>
    <w:p w14:paraId="4F1B0486" w14:textId="77777777" w:rsidR="00074149" w:rsidRDefault="00074149" w:rsidP="00074149">
      <w:pPr>
        <w:pStyle w:val="NoSpacing"/>
        <w:rPr>
          <w:rFonts w:ascii="Arial" w:hAnsi="Arial" w:cs="Arial"/>
          <w:szCs w:val="24"/>
        </w:rPr>
      </w:pPr>
      <w:r>
        <w:rPr>
          <w:rFonts w:ascii="Arial" w:hAnsi="Arial" w:cs="Arial"/>
          <w:szCs w:val="24"/>
        </w:rPr>
        <w:t>The Honorable Mitch McConnell</w:t>
      </w:r>
    </w:p>
    <w:p w14:paraId="5A895AA6" w14:textId="77777777" w:rsidR="00074149" w:rsidRDefault="00074149" w:rsidP="00074149">
      <w:pPr>
        <w:pStyle w:val="NoSpacing"/>
        <w:rPr>
          <w:rFonts w:ascii="Arial" w:hAnsi="Arial" w:cs="Arial"/>
          <w:szCs w:val="24"/>
        </w:rPr>
      </w:pPr>
      <w:r>
        <w:rPr>
          <w:rFonts w:ascii="Arial" w:hAnsi="Arial" w:cs="Arial"/>
          <w:szCs w:val="24"/>
        </w:rPr>
        <w:t>Majority Leader, United States Senate</w:t>
      </w:r>
    </w:p>
    <w:p w14:paraId="62678791" w14:textId="77777777" w:rsidR="00074149" w:rsidRDefault="00074149" w:rsidP="00074149">
      <w:pPr>
        <w:pStyle w:val="NoSpacing"/>
        <w:rPr>
          <w:rFonts w:ascii="Arial" w:hAnsi="Arial" w:cs="Arial"/>
          <w:szCs w:val="24"/>
        </w:rPr>
      </w:pPr>
    </w:p>
    <w:p w14:paraId="38C8A9C8" w14:textId="77777777" w:rsidR="00074149" w:rsidRDefault="00074149" w:rsidP="00074149">
      <w:pPr>
        <w:pStyle w:val="NoSpacing"/>
        <w:rPr>
          <w:rFonts w:ascii="Arial" w:hAnsi="Arial" w:cs="Arial"/>
          <w:szCs w:val="24"/>
        </w:rPr>
      </w:pPr>
      <w:r>
        <w:rPr>
          <w:rFonts w:ascii="Arial" w:hAnsi="Arial" w:cs="Arial"/>
          <w:szCs w:val="24"/>
        </w:rPr>
        <w:t>The Honorable Charles Schumer</w:t>
      </w:r>
    </w:p>
    <w:p w14:paraId="05262AE9" w14:textId="77777777" w:rsidR="00074149" w:rsidRDefault="00074149" w:rsidP="00074149">
      <w:pPr>
        <w:pStyle w:val="NoSpacing"/>
        <w:rPr>
          <w:rFonts w:ascii="Arial" w:hAnsi="Arial" w:cs="Arial"/>
          <w:szCs w:val="24"/>
        </w:rPr>
      </w:pPr>
      <w:r>
        <w:rPr>
          <w:rFonts w:ascii="Arial" w:hAnsi="Arial" w:cs="Arial"/>
          <w:szCs w:val="24"/>
        </w:rPr>
        <w:t>Minority Leader, United States Senate</w:t>
      </w:r>
    </w:p>
    <w:p w14:paraId="2448EA8A" w14:textId="77777777" w:rsidR="00074149" w:rsidRDefault="00074149" w:rsidP="00074149">
      <w:pPr>
        <w:pStyle w:val="NoSpacing"/>
        <w:rPr>
          <w:rFonts w:ascii="Arial" w:hAnsi="Arial" w:cs="Arial"/>
          <w:szCs w:val="24"/>
        </w:rPr>
      </w:pPr>
    </w:p>
    <w:p w14:paraId="1C5A64F6" w14:textId="77777777" w:rsidR="00074149" w:rsidRPr="00626028" w:rsidRDefault="00074149" w:rsidP="00074149">
      <w:pPr>
        <w:pStyle w:val="NoSpacing"/>
        <w:rPr>
          <w:rFonts w:ascii="Arial" w:hAnsi="Arial" w:cs="Arial"/>
          <w:szCs w:val="24"/>
        </w:rPr>
      </w:pPr>
      <w:r w:rsidRPr="00626028">
        <w:rPr>
          <w:rFonts w:ascii="Arial" w:hAnsi="Arial" w:cs="Arial"/>
          <w:szCs w:val="24"/>
        </w:rPr>
        <w:t xml:space="preserve">The Honorable </w:t>
      </w:r>
      <w:r>
        <w:rPr>
          <w:rFonts w:ascii="Arial" w:hAnsi="Arial" w:cs="Arial"/>
          <w:szCs w:val="24"/>
        </w:rPr>
        <w:t>Nancy Pelosi</w:t>
      </w:r>
    </w:p>
    <w:p w14:paraId="52DFE704" w14:textId="3C278651" w:rsidR="00074149" w:rsidRDefault="00074149" w:rsidP="00074149">
      <w:pPr>
        <w:pStyle w:val="NoSpacing"/>
        <w:rPr>
          <w:rFonts w:ascii="Arial" w:hAnsi="Arial" w:cs="Arial"/>
          <w:szCs w:val="24"/>
        </w:rPr>
      </w:pPr>
      <w:r>
        <w:rPr>
          <w:rFonts w:ascii="Arial" w:hAnsi="Arial" w:cs="Arial"/>
          <w:szCs w:val="24"/>
        </w:rPr>
        <w:t>Speaker of the United States House of Representative</w:t>
      </w:r>
      <w:r>
        <w:rPr>
          <w:rFonts w:ascii="Arial" w:hAnsi="Arial" w:cs="Arial"/>
          <w:szCs w:val="24"/>
        </w:rPr>
        <w:t>s</w:t>
      </w:r>
    </w:p>
    <w:p w14:paraId="72AE6063" w14:textId="77777777" w:rsidR="00074149" w:rsidRPr="00626028" w:rsidRDefault="00074149" w:rsidP="00074149">
      <w:pPr>
        <w:pStyle w:val="NoSpacing"/>
        <w:rPr>
          <w:rFonts w:ascii="Arial" w:hAnsi="Arial" w:cs="Arial"/>
          <w:szCs w:val="24"/>
        </w:rPr>
      </w:pPr>
    </w:p>
    <w:p w14:paraId="26B4B14C" w14:textId="77777777" w:rsidR="00074149" w:rsidRPr="00626028" w:rsidRDefault="00074149" w:rsidP="00074149">
      <w:pPr>
        <w:pStyle w:val="NoSpacing"/>
        <w:rPr>
          <w:rFonts w:ascii="Arial" w:hAnsi="Arial" w:cs="Arial"/>
          <w:szCs w:val="24"/>
        </w:rPr>
      </w:pPr>
      <w:r w:rsidRPr="00626028">
        <w:rPr>
          <w:rFonts w:ascii="Arial" w:hAnsi="Arial" w:cs="Arial"/>
          <w:szCs w:val="24"/>
        </w:rPr>
        <w:t xml:space="preserve">The Honorable </w:t>
      </w:r>
      <w:r>
        <w:rPr>
          <w:rFonts w:ascii="Arial" w:hAnsi="Arial" w:cs="Arial"/>
          <w:szCs w:val="24"/>
        </w:rPr>
        <w:t>Kevin McCarthy</w:t>
      </w:r>
    </w:p>
    <w:p w14:paraId="7D0289D8" w14:textId="77777777" w:rsidR="00074149" w:rsidRDefault="00074149" w:rsidP="00074149">
      <w:pPr>
        <w:pStyle w:val="NoSpacing"/>
        <w:rPr>
          <w:rFonts w:ascii="Arial" w:hAnsi="Arial" w:cs="Arial"/>
          <w:szCs w:val="24"/>
        </w:rPr>
      </w:pPr>
      <w:r>
        <w:rPr>
          <w:rFonts w:ascii="Arial" w:hAnsi="Arial" w:cs="Arial"/>
          <w:szCs w:val="24"/>
        </w:rPr>
        <w:t>Minority Leader</w:t>
      </w:r>
      <w:r w:rsidRPr="00626028">
        <w:rPr>
          <w:rFonts w:ascii="Arial" w:hAnsi="Arial" w:cs="Arial"/>
          <w:szCs w:val="24"/>
        </w:rPr>
        <w:t xml:space="preserve">, </w:t>
      </w:r>
      <w:r>
        <w:rPr>
          <w:rFonts w:ascii="Arial" w:hAnsi="Arial" w:cs="Arial"/>
          <w:szCs w:val="24"/>
        </w:rPr>
        <w:t xml:space="preserve">United States House of Representatives </w:t>
      </w:r>
    </w:p>
    <w:p w14:paraId="656F307B" w14:textId="77777777" w:rsidR="00074149" w:rsidRDefault="00074149" w:rsidP="00074149">
      <w:pPr>
        <w:pStyle w:val="NoSpacing"/>
        <w:rPr>
          <w:rFonts w:ascii="Arial" w:hAnsi="Arial" w:cs="Arial"/>
          <w:b/>
          <w:bCs/>
          <w:szCs w:val="24"/>
        </w:rPr>
      </w:pPr>
    </w:p>
    <w:p w14:paraId="75A3D930" w14:textId="77777777" w:rsidR="00074149" w:rsidRDefault="00074149" w:rsidP="00074149">
      <w:pPr>
        <w:pStyle w:val="NoSpacing"/>
        <w:rPr>
          <w:rFonts w:ascii="Arial" w:hAnsi="Arial" w:cs="Arial"/>
          <w:bCs/>
          <w:szCs w:val="24"/>
        </w:rPr>
      </w:pPr>
      <w:r>
        <w:rPr>
          <w:rFonts w:ascii="Arial" w:hAnsi="Arial" w:cs="Arial"/>
          <w:bCs/>
          <w:szCs w:val="24"/>
        </w:rPr>
        <w:t>The Honorable Lamar Alexander</w:t>
      </w:r>
    </w:p>
    <w:p w14:paraId="29D005F8" w14:textId="77777777" w:rsidR="00074149" w:rsidRDefault="00074149" w:rsidP="00074149">
      <w:pPr>
        <w:pStyle w:val="NoSpacing"/>
        <w:rPr>
          <w:rFonts w:ascii="Arial" w:hAnsi="Arial" w:cs="Arial"/>
          <w:bCs/>
          <w:szCs w:val="24"/>
        </w:rPr>
      </w:pPr>
      <w:r>
        <w:rPr>
          <w:rFonts w:ascii="Arial" w:hAnsi="Arial" w:cs="Arial"/>
          <w:bCs/>
          <w:szCs w:val="24"/>
        </w:rPr>
        <w:t>Chair, Senate HELP Committee</w:t>
      </w:r>
    </w:p>
    <w:p w14:paraId="2C81B491" w14:textId="77777777" w:rsidR="00074149" w:rsidRDefault="00074149" w:rsidP="00074149">
      <w:pPr>
        <w:pStyle w:val="NoSpacing"/>
        <w:rPr>
          <w:rFonts w:ascii="Arial" w:hAnsi="Arial" w:cs="Arial"/>
          <w:bCs/>
          <w:szCs w:val="24"/>
        </w:rPr>
      </w:pPr>
    </w:p>
    <w:p w14:paraId="06F8DE5E" w14:textId="77777777" w:rsidR="00074149" w:rsidRDefault="00074149" w:rsidP="00074149">
      <w:pPr>
        <w:pStyle w:val="NoSpacing"/>
        <w:rPr>
          <w:rFonts w:ascii="Arial" w:hAnsi="Arial" w:cs="Arial"/>
          <w:bCs/>
          <w:szCs w:val="24"/>
        </w:rPr>
      </w:pPr>
      <w:r>
        <w:rPr>
          <w:rFonts w:ascii="Arial" w:hAnsi="Arial" w:cs="Arial"/>
          <w:bCs/>
          <w:szCs w:val="24"/>
        </w:rPr>
        <w:t>The Honorable Patty Murray</w:t>
      </w:r>
    </w:p>
    <w:p w14:paraId="14777EC3" w14:textId="77777777" w:rsidR="00074149" w:rsidRDefault="00074149" w:rsidP="00074149">
      <w:pPr>
        <w:pStyle w:val="NoSpacing"/>
        <w:rPr>
          <w:rFonts w:ascii="Arial" w:hAnsi="Arial" w:cs="Arial"/>
          <w:bCs/>
          <w:szCs w:val="24"/>
        </w:rPr>
      </w:pPr>
      <w:r>
        <w:rPr>
          <w:rFonts w:ascii="Arial" w:hAnsi="Arial" w:cs="Arial"/>
          <w:bCs/>
          <w:szCs w:val="24"/>
        </w:rPr>
        <w:t>Ranking Member, Senate HELP Committee</w:t>
      </w:r>
    </w:p>
    <w:p w14:paraId="4746C4AC" w14:textId="77777777" w:rsidR="00074149" w:rsidRDefault="00074149" w:rsidP="00074149">
      <w:pPr>
        <w:pStyle w:val="NoSpacing"/>
        <w:rPr>
          <w:rFonts w:ascii="Arial" w:hAnsi="Arial" w:cs="Arial"/>
          <w:bCs/>
          <w:szCs w:val="24"/>
        </w:rPr>
      </w:pPr>
    </w:p>
    <w:p w14:paraId="00F3DF6B" w14:textId="77777777" w:rsidR="00074149" w:rsidRDefault="00074149" w:rsidP="00074149">
      <w:pPr>
        <w:pStyle w:val="NoSpacing"/>
        <w:rPr>
          <w:rFonts w:ascii="Arial" w:hAnsi="Arial" w:cs="Arial"/>
          <w:bCs/>
          <w:szCs w:val="24"/>
        </w:rPr>
      </w:pPr>
      <w:r>
        <w:rPr>
          <w:rFonts w:ascii="Arial" w:hAnsi="Arial" w:cs="Arial"/>
          <w:bCs/>
          <w:szCs w:val="24"/>
        </w:rPr>
        <w:t>The Honorable Frank Pallone</w:t>
      </w:r>
    </w:p>
    <w:p w14:paraId="26CEB2B0" w14:textId="77777777" w:rsidR="00074149" w:rsidRDefault="00074149" w:rsidP="00074149">
      <w:pPr>
        <w:pStyle w:val="NoSpacing"/>
        <w:rPr>
          <w:rFonts w:ascii="Arial" w:hAnsi="Arial" w:cs="Arial"/>
          <w:bCs/>
          <w:szCs w:val="24"/>
        </w:rPr>
      </w:pPr>
      <w:r>
        <w:rPr>
          <w:rFonts w:ascii="Arial" w:hAnsi="Arial" w:cs="Arial"/>
          <w:bCs/>
          <w:szCs w:val="24"/>
        </w:rPr>
        <w:t>Chair, House Energy and Commerce Committee</w:t>
      </w:r>
    </w:p>
    <w:p w14:paraId="62A9C0DC" w14:textId="77777777" w:rsidR="00074149" w:rsidRDefault="00074149" w:rsidP="00074149">
      <w:pPr>
        <w:pStyle w:val="NoSpacing"/>
        <w:rPr>
          <w:rFonts w:ascii="Arial" w:hAnsi="Arial" w:cs="Arial"/>
          <w:bCs/>
          <w:szCs w:val="24"/>
        </w:rPr>
      </w:pPr>
    </w:p>
    <w:p w14:paraId="2558A2BC" w14:textId="77777777" w:rsidR="00074149" w:rsidRDefault="00074149" w:rsidP="00074149">
      <w:pPr>
        <w:pStyle w:val="NoSpacing"/>
        <w:rPr>
          <w:rFonts w:ascii="Arial" w:hAnsi="Arial" w:cs="Arial"/>
          <w:bCs/>
          <w:szCs w:val="24"/>
        </w:rPr>
      </w:pPr>
      <w:r>
        <w:rPr>
          <w:rFonts w:ascii="Arial" w:hAnsi="Arial" w:cs="Arial"/>
          <w:bCs/>
          <w:szCs w:val="24"/>
        </w:rPr>
        <w:t>The Honorable Greg Walden</w:t>
      </w:r>
    </w:p>
    <w:p w14:paraId="5467CA2E" w14:textId="77777777" w:rsidR="00074149" w:rsidRDefault="00074149" w:rsidP="00074149">
      <w:pPr>
        <w:pStyle w:val="NoSpacing"/>
        <w:rPr>
          <w:rFonts w:ascii="Arial" w:hAnsi="Arial" w:cs="Arial"/>
          <w:bCs/>
          <w:szCs w:val="24"/>
        </w:rPr>
      </w:pPr>
      <w:r>
        <w:rPr>
          <w:rFonts w:ascii="Arial" w:hAnsi="Arial" w:cs="Arial"/>
          <w:bCs/>
          <w:szCs w:val="24"/>
        </w:rPr>
        <w:t>Ranking Member, House Energy and Commerce Committee</w:t>
      </w:r>
    </w:p>
    <w:p w14:paraId="2CC43648" w14:textId="77777777" w:rsidR="00074149" w:rsidRDefault="00074149" w:rsidP="00074149">
      <w:pPr>
        <w:rPr>
          <w:rFonts w:ascii="Arial" w:hAnsi="Arial" w:cs="Arial"/>
        </w:rPr>
      </w:pPr>
    </w:p>
    <w:p w14:paraId="7E632D63" w14:textId="77777777" w:rsidR="00074149" w:rsidRPr="00626028" w:rsidRDefault="00074149" w:rsidP="00074149">
      <w:pPr>
        <w:rPr>
          <w:rFonts w:ascii="Arial" w:hAnsi="Arial" w:cs="Arial"/>
          <w:b/>
        </w:rPr>
      </w:pPr>
    </w:p>
    <w:p w14:paraId="3DD128E0" w14:textId="77777777" w:rsidR="00074149" w:rsidRDefault="00074149" w:rsidP="00074149">
      <w:pPr>
        <w:rPr>
          <w:rFonts w:ascii="Arial" w:hAnsi="Arial" w:cs="Arial"/>
        </w:rPr>
      </w:pPr>
      <w:r w:rsidRPr="00626028">
        <w:rPr>
          <w:rFonts w:ascii="Arial" w:hAnsi="Arial" w:cs="Arial"/>
        </w:rPr>
        <w:t xml:space="preserve">Dear </w:t>
      </w:r>
      <w:r>
        <w:rPr>
          <w:rFonts w:ascii="Arial" w:hAnsi="Arial" w:cs="Arial"/>
        </w:rPr>
        <w:t>Senator McConnell, Senator Schumer, Representative Pelosi, Representative McCarthy, Senator Alexander, Senator Murray, Representative Pallone, and Representative Walden,</w:t>
      </w:r>
    </w:p>
    <w:p w14:paraId="1C19E13C" w14:textId="77777777" w:rsidR="00074149" w:rsidRDefault="00074149" w:rsidP="00074149">
      <w:pPr>
        <w:rPr>
          <w:rFonts w:ascii="Arial" w:hAnsi="Arial" w:cs="Arial"/>
        </w:rPr>
      </w:pPr>
    </w:p>
    <w:p w14:paraId="27E275B1" w14:textId="77777777" w:rsidR="00074149" w:rsidRDefault="00074149" w:rsidP="00074149">
      <w:pPr>
        <w:rPr>
          <w:rFonts w:ascii="Arial" w:hAnsi="Arial" w:cs="Arial"/>
        </w:rPr>
      </w:pPr>
      <w:r w:rsidRPr="00626028">
        <w:rPr>
          <w:rFonts w:ascii="Arial" w:hAnsi="Arial" w:cs="Arial"/>
        </w:rPr>
        <w:t xml:space="preserve">We write this letter today on behalf of </w:t>
      </w:r>
      <w:r>
        <w:rPr>
          <w:rFonts w:ascii="Arial" w:hAnsi="Arial" w:cs="Arial"/>
        </w:rPr>
        <w:t xml:space="preserve">the undersigned disability rights organizations. As organizations that advocate for the civil and human rights of people with disabilities, we are highly </w:t>
      </w:r>
      <w:r w:rsidRPr="00233444">
        <w:rPr>
          <w:rFonts w:ascii="Arial" w:hAnsi="Arial" w:cs="Arial"/>
        </w:rPr>
        <w:t>concerned</w:t>
      </w:r>
      <w:r>
        <w:rPr>
          <w:rFonts w:ascii="Arial" w:hAnsi="Arial" w:cs="Arial"/>
        </w:rPr>
        <w:t xml:space="preserve"> about</w:t>
      </w:r>
      <w:r w:rsidRPr="00626028">
        <w:rPr>
          <w:rFonts w:ascii="Arial" w:hAnsi="Arial" w:cs="Arial"/>
        </w:rPr>
        <w:t xml:space="preserve"> access to appropriate </w:t>
      </w:r>
      <w:r>
        <w:rPr>
          <w:rFonts w:ascii="Arial" w:hAnsi="Arial" w:cs="Arial"/>
        </w:rPr>
        <w:t>treatment for both people with addiction and people in serious pain, as both pain and addiction may be disabilities under the Americans with Disabilities Act (ADA).</w:t>
      </w:r>
    </w:p>
    <w:p w14:paraId="35C9D84D" w14:textId="77777777" w:rsidR="00074149" w:rsidRPr="00767DD8" w:rsidRDefault="00074149" w:rsidP="00074149">
      <w:pPr>
        <w:rPr>
          <w:rFonts w:ascii="Arial" w:hAnsi="Arial" w:cs="Arial"/>
        </w:rPr>
      </w:pPr>
    </w:p>
    <w:p w14:paraId="58C749CB" w14:textId="5681C960" w:rsidR="00706A43" w:rsidRDefault="00706A43" w:rsidP="00706A43">
      <w:pPr>
        <w:rPr>
          <w:rFonts w:ascii="Arial" w:hAnsi="Arial" w:cs="Arial"/>
        </w:rPr>
      </w:pPr>
      <w:r w:rsidRPr="002E7B87">
        <w:rPr>
          <w:rFonts w:ascii="Arial" w:hAnsi="Arial" w:cs="Arial"/>
        </w:rPr>
        <w:t xml:space="preserve">We </w:t>
      </w:r>
      <w:r>
        <w:rPr>
          <w:rFonts w:ascii="Arial" w:hAnsi="Arial" w:cs="Arial"/>
        </w:rPr>
        <w:t>appreciate</w:t>
      </w:r>
      <w:r w:rsidRPr="002E7B87">
        <w:rPr>
          <w:rFonts w:ascii="Arial" w:hAnsi="Arial" w:cs="Arial"/>
        </w:rPr>
        <w:t xml:space="preserve"> Congress</w:t>
      </w:r>
      <w:r>
        <w:rPr>
          <w:rFonts w:ascii="Arial" w:hAnsi="Arial" w:cs="Arial"/>
        </w:rPr>
        <w:t>’ work</w:t>
      </w:r>
      <w:r w:rsidRPr="002E7B87">
        <w:rPr>
          <w:rFonts w:ascii="Arial" w:hAnsi="Arial" w:cs="Arial"/>
        </w:rPr>
        <w:t xml:space="preserve"> </w:t>
      </w:r>
      <w:r>
        <w:rPr>
          <w:rFonts w:ascii="Arial" w:hAnsi="Arial" w:cs="Arial"/>
        </w:rPr>
        <w:t>on</w:t>
      </w:r>
      <w:r w:rsidRPr="002E7B87">
        <w:rPr>
          <w:rFonts w:ascii="Arial" w:hAnsi="Arial" w:cs="Arial"/>
        </w:rPr>
        <w:t xml:space="preserve"> legislation </w:t>
      </w:r>
      <w:r>
        <w:rPr>
          <w:rFonts w:ascii="Arial" w:hAnsi="Arial" w:cs="Arial"/>
        </w:rPr>
        <w:t>to</w:t>
      </w:r>
      <w:r w:rsidRPr="002E7B87">
        <w:rPr>
          <w:rFonts w:ascii="Arial" w:hAnsi="Arial" w:cs="Arial"/>
        </w:rPr>
        <w:t xml:space="preserve"> address opioid addiction and overdose</w:t>
      </w:r>
      <w:r>
        <w:rPr>
          <w:rFonts w:ascii="Arial" w:hAnsi="Arial" w:cs="Arial"/>
        </w:rPr>
        <w:t xml:space="preserve">s. We are, </w:t>
      </w:r>
      <w:r>
        <w:rPr>
          <w:rFonts w:ascii="Arial" w:hAnsi="Arial" w:cs="Arial"/>
          <w:noProof/>
        </w:rPr>
        <w:t xml:space="preserve">however, alarmed that as efforts to address opioid addiction have moved forward, the needs of people with serious pain have been addressed inappropriately or left out entirely. </w:t>
      </w:r>
    </w:p>
    <w:p w14:paraId="7066C710" w14:textId="77777777" w:rsidR="00706A43" w:rsidRDefault="00706A43" w:rsidP="00706A43">
      <w:pPr>
        <w:rPr>
          <w:rFonts w:ascii="Arial" w:hAnsi="Arial" w:cs="Arial"/>
          <w:noProof/>
        </w:rPr>
      </w:pPr>
    </w:p>
    <w:p w14:paraId="31EF943E" w14:textId="77777777" w:rsidR="00706A43" w:rsidRDefault="00706A43" w:rsidP="00706A43">
      <w:pPr>
        <w:rPr>
          <w:rFonts w:ascii="Arial" w:hAnsi="Arial" w:cs="Arial"/>
          <w:noProof/>
        </w:rPr>
      </w:pPr>
      <w:r>
        <w:rPr>
          <w:rFonts w:ascii="Arial" w:hAnsi="Arial" w:cs="Arial"/>
          <w:noProof/>
        </w:rPr>
        <w:t xml:space="preserve">Indeed, many policies are actually erecting new barriers to pain treatment -- barriers that leave people with disabilities and serious health </w:t>
      </w:r>
      <w:r w:rsidRPr="00C942C4">
        <w:rPr>
          <w:rFonts w:ascii="Arial" w:hAnsi="Arial" w:cs="Arial"/>
          <w:noProof/>
        </w:rPr>
        <w:t>conditions</w:t>
      </w:r>
      <w:r>
        <w:rPr>
          <w:rFonts w:ascii="Arial" w:hAnsi="Arial" w:cs="Arial"/>
          <w:noProof/>
        </w:rPr>
        <w:t xml:space="preserve"> unable to access pain medication, or result in people being tapered forcibly or abruptly off of their medications or abandoned in care entirely -- often with devastating results. These policies and the resulting harms were addressed in April by </w:t>
      </w:r>
      <w:r w:rsidRPr="00AF1595">
        <w:rPr>
          <w:rFonts w:ascii="Arial" w:hAnsi="Arial" w:cs="Arial"/>
          <w:noProof/>
        </w:rPr>
        <w:t>Centers for Disease Control and Prevention (CDC),</w:t>
      </w:r>
      <w:r>
        <w:rPr>
          <w:rStyle w:val="EndnoteReference"/>
          <w:rFonts w:ascii="Arial" w:hAnsi="Arial" w:cs="Arial"/>
          <w:noProof/>
        </w:rPr>
        <w:endnoteReference w:id="1"/>
      </w:r>
      <w:r w:rsidRPr="00AF1595">
        <w:rPr>
          <w:rStyle w:val="FootnoteReference"/>
          <w:rFonts w:ascii="Arial" w:hAnsi="Arial" w:cs="Arial"/>
          <w:color w:val="000000"/>
        </w:rPr>
        <w:t xml:space="preserve"> </w:t>
      </w:r>
      <w:r w:rsidRPr="00AF1595">
        <w:rPr>
          <w:rFonts w:ascii="Arial" w:hAnsi="Arial" w:cs="Arial"/>
          <w:noProof/>
        </w:rPr>
        <w:t>the Food and Drug Administration (FDA),</w:t>
      </w:r>
      <w:r>
        <w:rPr>
          <w:rStyle w:val="EndnoteReference"/>
          <w:rFonts w:ascii="Arial" w:hAnsi="Arial" w:cs="Arial"/>
          <w:noProof/>
        </w:rPr>
        <w:endnoteReference w:id="2"/>
      </w:r>
      <w:r w:rsidRPr="00AF1595">
        <w:rPr>
          <w:rFonts w:ascii="Arial" w:hAnsi="Arial" w:cs="Arial"/>
          <w:noProof/>
        </w:rPr>
        <w:t xml:space="preserve"> and the </w:t>
      </w:r>
      <w:r w:rsidRPr="00AF1595">
        <w:rPr>
          <w:rFonts w:ascii="Arial" w:hAnsi="Arial" w:cs="Arial"/>
          <w:color w:val="000000"/>
          <w:shd w:val="clear" w:color="auto" w:fill="FFFFFF"/>
        </w:rPr>
        <w:t>Pain Management Best Practices Inter-Agency Task Force</w:t>
      </w:r>
      <w:r w:rsidRPr="00AF1595">
        <w:rPr>
          <w:rFonts w:ascii="Arial" w:hAnsi="Arial" w:cs="Arial"/>
        </w:rPr>
        <w:t xml:space="preserve"> </w:t>
      </w:r>
      <w:r w:rsidRPr="00AF1595">
        <w:rPr>
          <w:rFonts w:ascii="Arial" w:hAnsi="Arial" w:cs="Arial"/>
          <w:noProof/>
        </w:rPr>
        <w:t>that was created by the Comprehensive Addiction and Recovery Act of 2016 (</w:t>
      </w:r>
      <w:r>
        <w:rPr>
          <w:rFonts w:ascii="Arial" w:hAnsi="Arial" w:cs="Arial"/>
          <w:noProof/>
        </w:rPr>
        <w:t xml:space="preserve">Inter-Agency </w:t>
      </w:r>
      <w:r w:rsidRPr="00AF1595">
        <w:rPr>
          <w:rFonts w:ascii="Arial" w:hAnsi="Arial" w:cs="Arial"/>
          <w:noProof/>
        </w:rPr>
        <w:t>Task Force).</w:t>
      </w:r>
      <w:r>
        <w:rPr>
          <w:rStyle w:val="EndnoteReference"/>
          <w:rFonts w:ascii="Arial" w:hAnsi="Arial" w:cs="Arial"/>
          <w:noProof/>
        </w:rPr>
        <w:endnoteReference w:id="3"/>
      </w:r>
    </w:p>
    <w:p w14:paraId="4F16E9DC" w14:textId="77777777" w:rsidR="00706A43" w:rsidRDefault="00706A43" w:rsidP="00706A43">
      <w:pPr>
        <w:rPr>
          <w:rFonts w:ascii="Arial" w:hAnsi="Arial" w:cs="Arial"/>
          <w:noProof/>
        </w:rPr>
      </w:pPr>
    </w:p>
    <w:p w14:paraId="3D1686DF" w14:textId="77777777" w:rsidR="00706A43" w:rsidRPr="00E84641" w:rsidRDefault="00706A43" w:rsidP="00706A43">
      <w:pPr>
        <w:rPr>
          <w:rFonts w:ascii="Arial" w:hAnsi="Arial" w:cs="Arial"/>
          <w:b/>
          <w:bCs/>
          <w:noProof/>
        </w:rPr>
      </w:pPr>
      <w:r>
        <w:rPr>
          <w:rFonts w:ascii="Arial" w:hAnsi="Arial" w:cs="Arial"/>
          <w:b/>
          <w:bCs/>
          <w:noProof/>
        </w:rPr>
        <w:t>Background</w:t>
      </w:r>
    </w:p>
    <w:p w14:paraId="2440ECB5" w14:textId="77777777" w:rsidR="00706A43" w:rsidRDefault="00706A43" w:rsidP="00706A43">
      <w:pPr>
        <w:rPr>
          <w:rFonts w:ascii="Arial" w:hAnsi="Arial" w:cs="Arial"/>
          <w:b/>
          <w:bCs/>
          <w:color w:val="000000"/>
        </w:rPr>
      </w:pPr>
    </w:p>
    <w:p w14:paraId="69C5B178" w14:textId="77777777" w:rsidR="00706A43" w:rsidRPr="00260A56" w:rsidRDefault="00706A43" w:rsidP="00706A43">
      <w:pPr>
        <w:rPr>
          <w:rFonts w:ascii="Arial" w:hAnsi="Arial" w:cs="Arial"/>
          <w:color w:val="222222"/>
        </w:rPr>
      </w:pPr>
      <w:r>
        <w:rPr>
          <w:rFonts w:ascii="Arial" w:hAnsi="Arial" w:cs="Arial"/>
          <w:color w:val="000000"/>
        </w:rPr>
        <w:t>Policies focused narrowly on redressing addiction and overdose deaths through limiting opioid prescriptions have proliferated at an alarming pace in the past three years. They have been enacted into law in over half of U.S. states</w:t>
      </w:r>
      <w:r>
        <w:rPr>
          <w:rStyle w:val="EndnoteReference"/>
          <w:rFonts w:ascii="Arial" w:hAnsi="Arial" w:cs="Arial"/>
          <w:color w:val="000000"/>
        </w:rPr>
        <w:endnoteReference w:id="4"/>
      </w:r>
      <w:r>
        <w:rPr>
          <w:rFonts w:ascii="Arial" w:hAnsi="Arial" w:cs="Arial"/>
          <w:color w:val="000000"/>
        </w:rPr>
        <w:t xml:space="preserve">, adopted by the major pharmacy chains and both public and private payers, and proposed in two pending federal bills. These policies derive from the </w:t>
      </w:r>
      <w:r w:rsidRPr="00C46CCF">
        <w:rPr>
          <w:rFonts w:ascii="Arial" w:hAnsi="Arial" w:cs="Arial"/>
          <w:color w:val="222222"/>
        </w:rPr>
        <w:t>CDC’s 2016 </w:t>
      </w:r>
      <w:r>
        <w:rPr>
          <w:rFonts w:ascii="Arial" w:hAnsi="Arial" w:cs="Arial"/>
        </w:rPr>
        <w:t>Guideline</w:t>
      </w:r>
      <w:r w:rsidRPr="00C46CCF">
        <w:rPr>
          <w:rFonts w:ascii="Arial" w:hAnsi="Arial" w:cs="Arial"/>
          <w:color w:val="222222"/>
        </w:rPr>
        <w:t> for Prescribing Opioids for Chronic Pai</w:t>
      </w:r>
      <w:r>
        <w:rPr>
          <w:rFonts w:ascii="Arial" w:hAnsi="Arial" w:cs="Arial"/>
          <w:color w:val="222222"/>
        </w:rPr>
        <w:t>n.</w:t>
      </w:r>
      <w:r>
        <w:rPr>
          <w:rStyle w:val="EndnoteReference"/>
          <w:rFonts w:ascii="Arial" w:hAnsi="Arial" w:cs="Arial"/>
          <w:color w:val="222222"/>
        </w:rPr>
        <w:endnoteReference w:id="5"/>
      </w:r>
      <w:r>
        <w:rPr>
          <w:rFonts w:ascii="Arial" w:hAnsi="Arial" w:cs="Arial"/>
          <w:color w:val="222222"/>
        </w:rPr>
        <w:t xml:space="preserve"> Nevertheless, the CDC recently stated publicly and unequivocally that such policies, which apply its recommendations as hard limits rather than with the clinical flexibility the guideline espouses, are – in fact – </w:t>
      </w:r>
      <w:r w:rsidRPr="001117A1">
        <w:rPr>
          <w:rFonts w:ascii="Arial" w:hAnsi="Arial" w:cs="Arial"/>
          <w:b/>
          <w:bCs/>
          <w:i/>
          <w:iCs/>
          <w:color w:val="222222"/>
        </w:rPr>
        <w:t>inconsistent with the Guideline and risk harm to patient health and safety</w:t>
      </w:r>
      <w:r w:rsidRPr="001B1F92">
        <w:rPr>
          <w:rFonts w:ascii="Arial" w:hAnsi="Arial" w:cs="Arial"/>
          <w:i/>
          <w:iCs/>
          <w:color w:val="222222"/>
        </w:rPr>
        <w:t>.</w:t>
      </w:r>
      <w:r>
        <w:rPr>
          <w:rStyle w:val="EndnoteReference"/>
          <w:rFonts w:ascii="Arial" w:hAnsi="Arial" w:cs="Arial"/>
          <w:iCs/>
          <w:color w:val="222222"/>
        </w:rPr>
        <w:endnoteReference w:id="6"/>
      </w:r>
    </w:p>
    <w:p w14:paraId="60364100" w14:textId="77777777" w:rsidR="00706A43" w:rsidRPr="001B1F92" w:rsidRDefault="00706A43" w:rsidP="00706A43">
      <w:pPr>
        <w:rPr>
          <w:rFonts w:ascii="Arial" w:hAnsi="Arial" w:cs="Arial"/>
          <w:i/>
          <w:iCs/>
          <w:color w:val="222222"/>
        </w:rPr>
      </w:pPr>
    </w:p>
    <w:p w14:paraId="1C68993C" w14:textId="77777777" w:rsidR="00706A43" w:rsidRDefault="00706A43" w:rsidP="00706A43">
      <w:pPr>
        <w:rPr>
          <w:rFonts w:ascii="Arial" w:hAnsi="Arial" w:cs="Arial"/>
          <w:color w:val="000000"/>
        </w:rPr>
      </w:pPr>
      <w:r>
        <w:rPr>
          <w:rFonts w:ascii="Arial" w:hAnsi="Arial" w:cs="Arial"/>
          <w:color w:val="222222"/>
        </w:rPr>
        <w:t xml:space="preserve">This harm </w:t>
      </w:r>
      <w:r>
        <w:rPr>
          <w:rFonts w:ascii="Arial" w:hAnsi="Arial" w:cs="Arial"/>
          <w:color w:val="000000"/>
        </w:rPr>
        <w:t xml:space="preserve">has been </w:t>
      </w:r>
      <w:r w:rsidRPr="00AF1595">
        <w:rPr>
          <w:rFonts w:ascii="Arial" w:hAnsi="Arial" w:cs="Arial"/>
          <w:color w:val="000000"/>
        </w:rPr>
        <w:t>highlighted</w:t>
      </w:r>
      <w:r>
        <w:rPr>
          <w:rFonts w:ascii="Arial" w:hAnsi="Arial" w:cs="Arial"/>
          <w:b/>
          <w:bCs/>
          <w:color w:val="000000"/>
        </w:rPr>
        <w:t xml:space="preserve"> </w:t>
      </w:r>
      <w:r>
        <w:rPr>
          <w:rFonts w:ascii="Arial" w:hAnsi="Arial" w:cs="Arial"/>
          <w:color w:val="000000"/>
        </w:rPr>
        <w:t>in a report from the international watchdog organization, Human Rights Watch (HRW),</w:t>
      </w:r>
      <w:r>
        <w:rPr>
          <w:rStyle w:val="EndnoteReference"/>
          <w:rFonts w:ascii="Arial" w:hAnsi="Arial" w:cs="Arial"/>
          <w:color w:val="000000"/>
        </w:rPr>
        <w:endnoteReference w:id="7"/>
      </w:r>
      <w:r>
        <w:rPr>
          <w:rFonts w:ascii="Arial" w:hAnsi="Arial" w:cs="Arial"/>
          <w:color w:val="000000"/>
        </w:rPr>
        <w:t xml:space="preserve"> a letter to the CDC from over 300 health professionals and three former White House drug czars</w:t>
      </w:r>
      <w:r>
        <w:rPr>
          <w:rStyle w:val="EndnoteReference"/>
          <w:rFonts w:ascii="Arial" w:hAnsi="Arial" w:cs="Arial"/>
          <w:color w:val="000000"/>
        </w:rPr>
        <w:endnoteReference w:id="8"/>
      </w:r>
      <w:r>
        <w:rPr>
          <w:rFonts w:ascii="Arial" w:hAnsi="Arial" w:cs="Arial"/>
          <w:color w:val="000000"/>
        </w:rPr>
        <w:t>, a widely-publicized international stakeholder letter</w:t>
      </w:r>
      <w:r>
        <w:rPr>
          <w:rStyle w:val="EndnoteReference"/>
          <w:rFonts w:ascii="Arial" w:hAnsi="Arial" w:cs="Arial"/>
          <w:color w:val="000000"/>
        </w:rPr>
        <w:endnoteReference w:id="9"/>
      </w:r>
      <w:r>
        <w:rPr>
          <w:rFonts w:ascii="Arial" w:hAnsi="Arial" w:cs="Arial"/>
          <w:color w:val="000000"/>
        </w:rPr>
        <w:t xml:space="preserve"> and, recently, the CDC, the Inter-Agency Task Force and the FDA.  P</w:t>
      </w:r>
      <w:r>
        <w:rPr>
          <w:rFonts w:ascii="Arial" w:hAnsi="Arial" w:cs="Arial"/>
          <w:color w:val="222222"/>
        </w:rPr>
        <w:t xml:space="preserve">eople with chronic pain </w:t>
      </w:r>
      <w:r>
        <w:rPr>
          <w:rFonts w:ascii="Arial" w:hAnsi="Arial" w:cs="Arial"/>
          <w:color w:val="000000"/>
        </w:rPr>
        <w:t xml:space="preserve">may deteriorate medically, lose their ability to function or work, or resort to suicide or illegal substances when their medication is denied. </w:t>
      </w:r>
    </w:p>
    <w:p w14:paraId="73CB4C6A" w14:textId="77777777" w:rsidR="00706A43" w:rsidRDefault="00706A43" w:rsidP="00706A43">
      <w:pPr>
        <w:rPr>
          <w:rFonts w:ascii="Arial" w:hAnsi="Arial" w:cs="Arial"/>
          <w:color w:val="000000"/>
        </w:rPr>
      </w:pPr>
    </w:p>
    <w:p w14:paraId="593F727F" w14:textId="77777777" w:rsidR="00706A43" w:rsidRDefault="00706A43" w:rsidP="00706A43">
      <w:pPr>
        <w:rPr>
          <w:rFonts w:ascii="Arial" w:hAnsi="Arial" w:cs="Arial"/>
          <w:color w:val="000000"/>
        </w:rPr>
      </w:pPr>
      <w:r>
        <w:rPr>
          <w:rFonts w:ascii="Arial" w:hAnsi="Arial" w:cs="Arial"/>
          <w:color w:val="000000"/>
        </w:rPr>
        <w:t>People</w:t>
      </w:r>
      <w:r>
        <w:rPr>
          <w:rFonts w:ascii="Arial" w:hAnsi="Arial" w:cs="Arial"/>
        </w:rPr>
        <w:t xml:space="preserve"> with disabilities, who</w:t>
      </w:r>
      <w:r>
        <w:rPr>
          <w:rFonts w:ascii="Arial" w:hAnsi="Arial" w:cs="Arial"/>
          <w:color w:val="000000"/>
        </w:rPr>
        <w:t xml:space="preserve"> already face barriers to receiving healthcare on an equal basis to others, have experienced these burdens profoundly. </w:t>
      </w:r>
      <w:r>
        <w:rPr>
          <w:rFonts w:ascii="Arial" w:hAnsi="Arial" w:cs="Arial"/>
          <w:noProof/>
        </w:rPr>
        <w:t>Individuals with disabilities disproportionately experience serious pain, and some use opioids to manage pain from serious or incurable conditions.</w:t>
      </w:r>
      <w:r>
        <w:rPr>
          <w:rStyle w:val="EndnoteReference"/>
          <w:rFonts w:ascii="Arial" w:hAnsi="Arial" w:cs="Arial"/>
          <w:noProof/>
        </w:rPr>
        <w:endnoteReference w:id="10"/>
      </w:r>
      <w:r>
        <w:rPr>
          <w:rFonts w:ascii="Arial" w:hAnsi="Arial" w:cs="Arial"/>
          <w:noProof/>
        </w:rPr>
        <w:t xml:space="preserve"> </w:t>
      </w:r>
      <w:r>
        <w:rPr>
          <w:rFonts w:ascii="Arial" w:hAnsi="Arial" w:cs="Arial"/>
          <w:color w:val="000000"/>
        </w:rPr>
        <w:t>The research correlating pain and disability is extensive: long-term pain is one of the primary causes of disability worldwide and in the US, and pain is a primary feature in many disabling conditions.</w:t>
      </w:r>
      <w:r w:rsidRPr="00023A5D">
        <w:rPr>
          <w:rStyle w:val="EndnoteReference"/>
          <w:rFonts w:ascii="Arial" w:hAnsi="Arial" w:cs="Arial"/>
          <w:color w:val="000000"/>
        </w:rPr>
        <w:t xml:space="preserve"> </w:t>
      </w:r>
      <w:r>
        <w:rPr>
          <w:rStyle w:val="EndnoteReference"/>
          <w:rFonts w:ascii="Arial" w:hAnsi="Arial" w:cs="Arial"/>
          <w:color w:val="000000"/>
        </w:rPr>
        <w:endnoteReference w:id="11"/>
      </w:r>
      <w:r>
        <w:rPr>
          <w:rFonts w:ascii="Arial" w:hAnsi="Arial" w:cs="Arial"/>
          <w:color w:val="000000"/>
        </w:rPr>
        <w:t xml:space="preserve"> Recent studies show that nearly 20 million Americans experience pain that interferes with their ability to engage in basic life activities, a common definition of disability.</w:t>
      </w:r>
      <w:r>
        <w:rPr>
          <w:rStyle w:val="EndnoteReference"/>
          <w:rFonts w:ascii="Arial" w:hAnsi="Arial" w:cs="Arial"/>
          <w:color w:val="000000"/>
        </w:rPr>
        <w:endnoteReference w:id="12"/>
      </w:r>
      <w:r w:rsidRPr="006F05F9">
        <w:rPr>
          <w:rStyle w:val="FootnoteReference"/>
          <w:rFonts w:ascii="Arial" w:hAnsi="Arial" w:cs="Arial"/>
          <w:color w:val="000000"/>
        </w:rPr>
        <w:t xml:space="preserve"> </w:t>
      </w:r>
    </w:p>
    <w:p w14:paraId="721852DE" w14:textId="77777777" w:rsidR="00706A43" w:rsidRDefault="00706A43" w:rsidP="00706A43">
      <w:pPr>
        <w:rPr>
          <w:rFonts w:ascii="Arial" w:hAnsi="Arial" w:cs="Arial"/>
          <w:color w:val="000000"/>
        </w:rPr>
      </w:pPr>
    </w:p>
    <w:p w14:paraId="2A2FFB99" w14:textId="77777777" w:rsidR="00706A43" w:rsidRPr="00E84641" w:rsidRDefault="00706A43" w:rsidP="00706A43">
      <w:pPr>
        <w:rPr>
          <w:rFonts w:ascii="Arial" w:hAnsi="Arial" w:cs="Arial"/>
          <w:b/>
          <w:bCs/>
          <w:color w:val="7030A0"/>
        </w:rPr>
      </w:pPr>
      <w:r>
        <w:rPr>
          <w:rFonts w:ascii="Arial" w:hAnsi="Arial" w:cs="Arial"/>
          <w:b/>
          <w:bCs/>
          <w:color w:val="000000"/>
        </w:rPr>
        <w:t>One-</w:t>
      </w:r>
      <w:r w:rsidRPr="00095703">
        <w:rPr>
          <w:rFonts w:ascii="Arial" w:hAnsi="Arial" w:cs="Arial"/>
          <w:b/>
          <w:bCs/>
          <w:color w:val="000000"/>
        </w:rPr>
        <w:t>sized</w:t>
      </w:r>
      <w:r>
        <w:rPr>
          <w:rFonts w:ascii="Arial" w:hAnsi="Arial" w:cs="Arial"/>
          <w:b/>
          <w:bCs/>
          <w:color w:val="000000"/>
        </w:rPr>
        <w:t xml:space="preserve"> Policymaking</w:t>
      </w:r>
    </w:p>
    <w:p w14:paraId="0DD3D442" w14:textId="77777777" w:rsidR="00706A43" w:rsidRDefault="00706A43" w:rsidP="00706A43">
      <w:pPr>
        <w:rPr>
          <w:rFonts w:ascii="Arial" w:hAnsi="Arial" w:cs="Arial"/>
          <w:b/>
          <w:bCs/>
          <w:color w:val="000000"/>
        </w:rPr>
      </w:pPr>
    </w:p>
    <w:p w14:paraId="128299E2" w14:textId="4C1753B2" w:rsidR="00706A43" w:rsidRDefault="00706A43" w:rsidP="00706A43">
      <w:pPr>
        <w:rPr>
          <w:rFonts w:ascii="Arial" w:hAnsi="Arial" w:cs="Arial"/>
          <w:color w:val="000000"/>
        </w:rPr>
      </w:pPr>
      <w:r>
        <w:rPr>
          <w:rFonts w:ascii="Arial" w:hAnsi="Arial" w:cs="Arial"/>
          <w:color w:val="000000"/>
        </w:rPr>
        <w:t xml:space="preserve">The types of one-size-fits-all policy approaches to limiting opioid prescribing which the CDC considers a misapplication of its guideline include the following: </w:t>
      </w:r>
    </w:p>
    <w:p w14:paraId="35F2BC1D" w14:textId="77777777" w:rsidR="00074149" w:rsidRDefault="00074149" w:rsidP="00706A43">
      <w:pPr>
        <w:rPr>
          <w:rFonts w:ascii="Arial" w:hAnsi="Arial" w:cs="Arial"/>
          <w:color w:val="000000"/>
        </w:rPr>
      </w:pPr>
    </w:p>
    <w:p w14:paraId="37562587" w14:textId="77777777" w:rsidR="00706A43" w:rsidRDefault="00706A43" w:rsidP="00706A43">
      <w:pPr>
        <w:rPr>
          <w:rFonts w:ascii="Arial" w:hAnsi="Arial" w:cs="Arial"/>
          <w:color w:val="000000"/>
        </w:rPr>
      </w:pPr>
      <w:r>
        <w:rPr>
          <w:rFonts w:ascii="Arial" w:hAnsi="Arial" w:cs="Arial"/>
          <w:color w:val="000000"/>
        </w:rPr>
        <w:lastRenderedPageBreak/>
        <w:sym w:font="Symbol" w:char="F0B7"/>
      </w:r>
      <w:r>
        <w:rPr>
          <w:rFonts w:ascii="Arial" w:hAnsi="Arial" w:cs="Arial"/>
          <w:color w:val="000000"/>
        </w:rPr>
        <w:t xml:space="preserve"> </w:t>
      </w:r>
      <w:r>
        <w:rPr>
          <w:rFonts w:ascii="Arial" w:hAnsi="Arial" w:cs="Arial"/>
          <w:color w:val="000000"/>
        </w:rPr>
        <w:tab/>
      </w:r>
      <w:r w:rsidRPr="001A2494">
        <w:rPr>
          <w:rFonts w:ascii="Arial" w:hAnsi="Arial" w:cs="Arial"/>
          <w:b/>
          <w:bCs/>
          <w:color w:val="000000"/>
        </w:rPr>
        <w:t>Strict limits to opioid prescribing for acute pain</w:t>
      </w:r>
      <w:r>
        <w:rPr>
          <w:rFonts w:ascii="Arial" w:hAnsi="Arial" w:cs="Arial"/>
          <w:b/>
          <w:bCs/>
          <w:color w:val="000000"/>
        </w:rPr>
        <w:t>, often of 3-7 days</w:t>
      </w:r>
      <w:r>
        <w:rPr>
          <w:rFonts w:ascii="Arial" w:hAnsi="Arial" w:cs="Arial"/>
          <w:color w:val="000000"/>
        </w:rPr>
        <w:t xml:space="preserve">. </w:t>
      </w:r>
    </w:p>
    <w:p w14:paraId="7EEA8F3F" w14:textId="77777777" w:rsidR="00706A43" w:rsidRDefault="00706A43" w:rsidP="00706A43">
      <w:pPr>
        <w:rPr>
          <w:rFonts w:ascii="Arial" w:hAnsi="Arial" w:cs="Arial"/>
          <w:color w:val="000000"/>
        </w:rPr>
      </w:pPr>
    </w:p>
    <w:p w14:paraId="0786509D" w14:textId="77777777" w:rsidR="00706A43" w:rsidRDefault="00706A43" w:rsidP="00706A43">
      <w:pPr>
        <w:rPr>
          <w:rFonts w:ascii="Arial" w:hAnsi="Arial" w:cs="Arial"/>
          <w:color w:val="000000"/>
        </w:rPr>
      </w:pPr>
      <w:r>
        <w:rPr>
          <w:rFonts w:ascii="Arial" w:hAnsi="Arial" w:cs="Arial"/>
          <w:color w:val="000000"/>
        </w:rPr>
        <w:t xml:space="preserve">Drawn from a single sentence in a guideline about prescribing for chronic, not acute, pain, these duration limits now exist in most major payer and pharmacy policies and state laws. They are also the basis </w:t>
      </w:r>
      <w:r w:rsidRPr="008C0FA9">
        <w:rPr>
          <w:rFonts w:ascii="Arial" w:hAnsi="Arial" w:cs="Arial"/>
          <w:color w:val="000000"/>
        </w:rPr>
        <w:t>of two</w:t>
      </w:r>
      <w:r>
        <w:rPr>
          <w:rFonts w:ascii="Arial" w:hAnsi="Arial" w:cs="Arial"/>
          <w:color w:val="000000"/>
        </w:rPr>
        <w:t xml:space="preserve"> proposed federal laws. A primary reason for the CDC’s warning against this sort of strict application by policymakers is the limited state of available evidence for some of its recommendations. This recommendation was rated evidence quality 4, or having poorest evidentiary support: “</w:t>
      </w:r>
      <w:r w:rsidRPr="00832B48">
        <w:rPr>
          <w:rFonts w:ascii="Arial" w:hAnsi="Arial" w:cs="Arial"/>
          <w:color w:val="000000"/>
          <w:shd w:val="clear" w:color="auto" w:fill="FFFFFF"/>
        </w:rPr>
        <w:t>type 4 evidence indicates that one has very little confidence in the effect estimate, and the true effect is likely to be substantially different from the estimate</w:t>
      </w:r>
      <w:r>
        <w:rPr>
          <w:rFonts w:ascii="Arial" w:hAnsi="Arial" w:cs="Arial"/>
          <w:color w:val="000000"/>
          <w:shd w:val="clear" w:color="auto" w:fill="FFFFFF"/>
        </w:rPr>
        <w:t>”</w:t>
      </w:r>
      <w:r>
        <w:rPr>
          <w:rFonts w:ascii="Arial" w:hAnsi="Arial" w:cs="Arial"/>
          <w:color w:val="000000"/>
        </w:rPr>
        <w:t>).</w:t>
      </w:r>
      <w:r>
        <w:rPr>
          <w:rStyle w:val="EndnoteReference"/>
          <w:rFonts w:ascii="Arial" w:hAnsi="Arial" w:cs="Arial"/>
          <w:color w:val="000000"/>
        </w:rPr>
        <w:endnoteReference w:id="13"/>
      </w:r>
      <w:bookmarkStart w:id="0" w:name="_GoBack"/>
      <w:bookmarkEnd w:id="0"/>
    </w:p>
    <w:p w14:paraId="46CF39BA" w14:textId="77777777" w:rsidR="00706A43" w:rsidRDefault="00706A43" w:rsidP="00706A43">
      <w:pPr>
        <w:rPr>
          <w:rFonts w:ascii="Arial" w:hAnsi="Arial" w:cs="Arial"/>
          <w:color w:val="000000"/>
        </w:rPr>
      </w:pPr>
      <w:r>
        <w:rPr>
          <w:rFonts w:ascii="Arial" w:hAnsi="Arial" w:cs="Arial"/>
          <w:color w:val="000000"/>
        </w:rPr>
        <w:tab/>
      </w:r>
    </w:p>
    <w:p w14:paraId="16E6723C" w14:textId="77777777" w:rsidR="00706A43" w:rsidRPr="00706A43" w:rsidRDefault="00706A43" w:rsidP="00706A43">
      <w:pPr>
        <w:rPr>
          <w:rFonts w:ascii="Arial" w:hAnsi="Arial" w:cs="Arial"/>
          <w:color w:val="000000"/>
        </w:rPr>
      </w:pPr>
      <w:r w:rsidRPr="00C934A1">
        <w:rPr>
          <w:rFonts w:ascii="Arial" w:hAnsi="Arial" w:cs="Arial"/>
          <w:color w:val="000000"/>
        </w:rPr>
        <w:t xml:space="preserve">The </w:t>
      </w:r>
      <w:r w:rsidRPr="00706A43">
        <w:rPr>
          <w:rFonts w:ascii="Arial" w:hAnsi="Arial" w:cs="Arial"/>
          <w:color w:val="000000"/>
        </w:rPr>
        <w:t>FDA is in the process of developing detailed, evidence-based guidelines focused specifically on the different types of acute pain.</w:t>
      </w:r>
      <w:r w:rsidRPr="00706A43">
        <w:rPr>
          <w:rStyle w:val="EndnoteReference"/>
          <w:rFonts w:ascii="Arial" w:hAnsi="Arial" w:cs="Arial"/>
          <w:color w:val="000000"/>
        </w:rPr>
        <w:endnoteReference w:id="14"/>
      </w:r>
      <w:r w:rsidRPr="00706A43">
        <w:rPr>
          <w:rFonts w:ascii="Arial" w:hAnsi="Arial" w:cs="Arial"/>
          <w:color w:val="000000"/>
        </w:rPr>
        <w:t xml:space="preserve">  Further policy developments on this issue should await its findings. </w:t>
      </w:r>
    </w:p>
    <w:p w14:paraId="21B91D39" w14:textId="77777777" w:rsidR="00706A43" w:rsidRPr="00706A43" w:rsidRDefault="00706A43" w:rsidP="00706A43">
      <w:pPr>
        <w:rPr>
          <w:rFonts w:ascii="Arial" w:hAnsi="Arial" w:cs="Arial"/>
          <w:color w:val="000000"/>
        </w:rPr>
      </w:pPr>
    </w:p>
    <w:p w14:paraId="55A2DABD" w14:textId="77777777" w:rsidR="00706A43" w:rsidRPr="00706A43" w:rsidRDefault="00706A43" w:rsidP="00706A43">
      <w:pPr>
        <w:rPr>
          <w:rFonts w:ascii="Arial" w:hAnsi="Arial" w:cs="Arial"/>
          <w:b/>
          <w:bCs/>
          <w:color w:val="000000"/>
        </w:rPr>
      </w:pPr>
      <w:r w:rsidRPr="00706A43">
        <w:rPr>
          <w:rFonts w:ascii="Arial" w:hAnsi="Arial" w:cs="Arial"/>
          <w:b/>
          <w:bCs/>
          <w:color w:val="000000"/>
        </w:rPr>
        <w:sym w:font="Symbol" w:char="F0B7"/>
      </w:r>
      <w:r w:rsidRPr="00706A43">
        <w:rPr>
          <w:rFonts w:ascii="Arial" w:hAnsi="Arial" w:cs="Arial"/>
          <w:b/>
          <w:bCs/>
          <w:color w:val="000000"/>
        </w:rPr>
        <w:t xml:space="preserve">  </w:t>
      </w:r>
      <w:r w:rsidRPr="00706A43">
        <w:rPr>
          <w:rFonts w:ascii="Arial" w:hAnsi="Arial" w:cs="Arial"/>
          <w:b/>
          <w:bCs/>
          <w:color w:val="000000"/>
        </w:rPr>
        <w:tab/>
        <w:t xml:space="preserve">Strict application of dosage guidance from the CDC’s guideline. </w:t>
      </w:r>
    </w:p>
    <w:p w14:paraId="63AE65FD" w14:textId="77777777" w:rsidR="00706A43" w:rsidRPr="00706A43" w:rsidRDefault="00706A43" w:rsidP="00706A43">
      <w:pPr>
        <w:rPr>
          <w:rFonts w:ascii="Arial" w:hAnsi="Arial" w:cs="Arial"/>
          <w:b/>
          <w:bCs/>
          <w:color w:val="000000"/>
        </w:rPr>
      </w:pPr>
    </w:p>
    <w:p w14:paraId="348B993E" w14:textId="77777777" w:rsidR="00706A43" w:rsidRPr="00706A43" w:rsidRDefault="00706A43" w:rsidP="00706A43">
      <w:pPr>
        <w:rPr>
          <w:rFonts w:ascii="Arial" w:hAnsi="Arial" w:cs="Arial"/>
          <w:color w:val="000000"/>
        </w:rPr>
      </w:pPr>
      <w:r w:rsidRPr="00706A43">
        <w:rPr>
          <w:rFonts w:ascii="Arial" w:hAnsi="Arial" w:cs="Arial"/>
          <w:color w:val="000000"/>
        </w:rPr>
        <w:t>The CDC guideline contains dosage guidance to assist doctors in starting a new, opioid-naïve individual ranging from the equivalent of 50 to 90 milligrams of morphine a day. This recommendation is also based on low quality evidence (evidence quality 3).</w:t>
      </w:r>
      <w:r w:rsidRPr="00706A43">
        <w:rPr>
          <w:rStyle w:val="EndnoteReference"/>
          <w:rFonts w:ascii="Arial" w:hAnsi="Arial" w:cs="Arial"/>
          <w:color w:val="000000"/>
        </w:rPr>
        <w:endnoteReference w:id="15"/>
      </w:r>
      <w:r w:rsidRPr="00706A43">
        <w:rPr>
          <w:rFonts w:ascii="Arial" w:hAnsi="Arial" w:cs="Arial"/>
          <w:color w:val="000000"/>
        </w:rPr>
        <w:t xml:space="preserve"> </w:t>
      </w:r>
    </w:p>
    <w:p w14:paraId="6A829C70" w14:textId="77777777" w:rsidR="00706A43" w:rsidRPr="00706A43" w:rsidRDefault="00706A43" w:rsidP="00706A43">
      <w:pPr>
        <w:rPr>
          <w:rFonts w:ascii="Arial" w:hAnsi="Arial" w:cs="Arial"/>
          <w:color w:val="000000"/>
        </w:rPr>
      </w:pPr>
    </w:p>
    <w:p w14:paraId="2FB86861" w14:textId="77777777" w:rsidR="00706A43" w:rsidRPr="00706A43" w:rsidRDefault="00706A43" w:rsidP="00706A43">
      <w:pPr>
        <w:rPr>
          <w:rFonts w:ascii="Arial" w:hAnsi="Arial" w:cs="Arial"/>
          <w:color w:val="000000"/>
        </w:rPr>
      </w:pPr>
      <w:r w:rsidRPr="00706A43">
        <w:rPr>
          <w:rFonts w:ascii="Arial" w:hAnsi="Arial" w:cs="Arial"/>
          <w:color w:val="000000"/>
        </w:rPr>
        <w:t>Yet this dosage guidance has taken on a life of its own, becoming, as the CDC recently recognized, a sort of benchmark or proxy for safe prescribing.</w:t>
      </w:r>
      <w:r w:rsidRPr="00706A43">
        <w:rPr>
          <w:rStyle w:val="EndnoteReference"/>
          <w:rFonts w:ascii="Arial" w:hAnsi="Arial" w:cs="Arial"/>
          <w:color w:val="000000"/>
        </w:rPr>
        <w:endnoteReference w:id="16"/>
      </w:r>
      <w:r w:rsidRPr="00706A43">
        <w:rPr>
          <w:rFonts w:ascii="Arial" w:hAnsi="Arial" w:cs="Arial"/>
          <w:color w:val="000000"/>
        </w:rPr>
        <w:t xml:space="preserve"> It has been translated as a de facto limit into pharmacy and payer policies, and has been used to flag patients as over-utilizers and physicians as over-prescribers, without any consideration of the context of an individual’s disease or the population of individuals a physician treats.   </w:t>
      </w:r>
    </w:p>
    <w:p w14:paraId="50891619" w14:textId="77777777" w:rsidR="00706A43" w:rsidRDefault="00706A43" w:rsidP="00706A43">
      <w:pPr>
        <w:rPr>
          <w:rFonts w:ascii="Arial" w:hAnsi="Arial" w:cs="Arial"/>
        </w:rPr>
      </w:pPr>
    </w:p>
    <w:p w14:paraId="36219426" w14:textId="77777777" w:rsidR="00706A43" w:rsidRPr="00706A43" w:rsidRDefault="00706A43" w:rsidP="00706A43">
      <w:pPr>
        <w:rPr>
          <w:rFonts w:ascii="Arial" w:hAnsi="Arial" w:cs="Arial"/>
          <w:color w:val="000000"/>
        </w:rPr>
      </w:pPr>
      <w:r w:rsidRPr="00706A43">
        <w:rPr>
          <w:rFonts w:ascii="Arial" w:hAnsi="Arial" w:cs="Arial"/>
          <w:color w:val="000000"/>
        </w:rPr>
        <w:t xml:space="preserve">As CDC Director Redfield recently clarified, this provision was never intended to apply to people currently taking opioids—as the implications of altering medication for current patients are quite different. For current patients, the Director makes clear, the </w:t>
      </w:r>
      <w:r w:rsidRPr="00706A43">
        <w:rPr>
          <w:rFonts w:ascii="Arial" w:hAnsi="Arial" w:cs="Arial"/>
          <w:bCs/>
          <w:color w:val="000000"/>
        </w:rPr>
        <w:t>only</w:t>
      </w:r>
      <w:r w:rsidRPr="00706A43">
        <w:rPr>
          <w:rFonts w:ascii="Arial" w:hAnsi="Arial" w:cs="Arial"/>
          <w:b/>
          <w:bCs/>
          <w:color w:val="000000"/>
        </w:rPr>
        <w:t xml:space="preserve"> </w:t>
      </w:r>
      <w:r w:rsidRPr="00706A43">
        <w:rPr>
          <w:rFonts w:ascii="Arial" w:hAnsi="Arial" w:cs="Arial"/>
          <w:color w:val="000000"/>
        </w:rPr>
        <w:t>relevant question is whether the benefits exceed the risks of the medication.</w:t>
      </w:r>
      <w:r w:rsidRPr="00706A43">
        <w:rPr>
          <w:rStyle w:val="EndnoteReference"/>
          <w:rFonts w:ascii="Arial" w:hAnsi="Arial" w:cs="Arial"/>
          <w:color w:val="000000"/>
        </w:rPr>
        <w:endnoteReference w:id="17"/>
      </w:r>
      <w:r w:rsidRPr="00706A43">
        <w:rPr>
          <w:rFonts w:ascii="Arial" w:hAnsi="Arial" w:cs="Arial"/>
          <w:color w:val="000000"/>
        </w:rPr>
        <w:t xml:space="preserve"> The final report released by the Interagency Task Force also </w:t>
      </w:r>
      <w:r>
        <w:rPr>
          <w:rFonts w:ascii="Arial" w:hAnsi="Arial" w:cs="Arial"/>
          <w:noProof/>
        </w:rPr>
        <w:t>criticized the</w:t>
      </w:r>
      <w:r w:rsidRPr="00442C29">
        <w:rPr>
          <w:rFonts w:ascii="Arial" w:hAnsi="Arial" w:cs="Arial"/>
          <w:noProof/>
        </w:rPr>
        <w:t xml:space="preserve"> strict use of dosage thresholds</w:t>
      </w:r>
      <w:r>
        <w:rPr>
          <w:rFonts w:ascii="Arial" w:hAnsi="Arial" w:cs="Arial"/>
          <w:noProof/>
        </w:rPr>
        <w:t xml:space="preserve"> as unscientific and potentially harmful</w:t>
      </w:r>
      <w:r w:rsidRPr="00442C29">
        <w:rPr>
          <w:rFonts w:ascii="Arial" w:hAnsi="Arial" w:cs="Arial"/>
          <w:noProof/>
        </w:rPr>
        <w:t>.</w:t>
      </w:r>
      <w:r>
        <w:rPr>
          <w:rStyle w:val="EndnoteReference"/>
          <w:rFonts w:ascii="Arial" w:hAnsi="Arial" w:cs="Arial"/>
          <w:noProof/>
        </w:rPr>
        <w:endnoteReference w:id="18"/>
      </w:r>
    </w:p>
    <w:p w14:paraId="413D5231" w14:textId="77777777" w:rsidR="00706A43" w:rsidRPr="00706A43" w:rsidRDefault="00706A43" w:rsidP="00706A43">
      <w:pPr>
        <w:rPr>
          <w:rFonts w:ascii="Arial" w:hAnsi="Arial" w:cs="Arial"/>
          <w:color w:val="000000"/>
        </w:rPr>
      </w:pPr>
    </w:p>
    <w:p w14:paraId="6886FA37" w14:textId="77777777" w:rsidR="00706A43" w:rsidRDefault="00706A43" w:rsidP="00706A43">
      <w:pPr>
        <w:rPr>
          <w:rFonts w:ascii="Arial" w:hAnsi="Arial" w:cs="Arial"/>
        </w:rPr>
      </w:pPr>
      <w:r w:rsidRPr="00706A43">
        <w:rPr>
          <w:rFonts w:ascii="Arial" w:hAnsi="Arial" w:cs="Arial"/>
          <w:color w:val="000000"/>
        </w:rPr>
        <w:t>Nevertheless these numbers are now used in risk scoring algorithms by payers, hospitals, pharmacies and law enforcement agencies, often in ways that are non-transparent.  H</w:t>
      </w:r>
      <w:r>
        <w:rPr>
          <w:rFonts w:ascii="Arial" w:hAnsi="Arial" w:cs="Arial"/>
        </w:rPr>
        <w:t>igher-than-average dosage may automatically generate a “high-risk” score, even for individuals who have had years of successful long-term therapy and who exhibit no other risk factors,</w:t>
      </w:r>
      <w:r>
        <w:rPr>
          <w:rStyle w:val="EndnoteReference"/>
          <w:rFonts w:ascii="Arial" w:hAnsi="Arial" w:cs="Arial"/>
        </w:rPr>
        <w:endnoteReference w:id="19"/>
      </w:r>
      <w:r>
        <w:rPr>
          <w:rFonts w:ascii="Arial" w:hAnsi="Arial" w:cs="Arial"/>
        </w:rPr>
        <w:t xml:space="preserve"> and may lead to the abrupt and inappropriate denial of medication. </w:t>
      </w:r>
    </w:p>
    <w:p w14:paraId="1D39F6B6" w14:textId="77777777" w:rsidR="00706A43" w:rsidRDefault="00706A43" w:rsidP="00706A43">
      <w:pPr>
        <w:rPr>
          <w:rFonts w:ascii="Arial" w:hAnsi="Arial" w:cs="Arial"/>
        </w:rPr>
      </w:pPr>
    </w:p>
    <w:p w14:paraId="53BA58B7" w14:textId="77777777" w:rsidR="00706A43" w:rsidRPr="00F109BF" w:rsidRDefault="00706A43" w:rsidP="00706A43">
      <w:pPr>
        <w:rPr>
          <w:rFonts w:ascii="Arial" w:hAnsi="Arial" w:cs="Arial"/>
          <w:b/>
        </w:rPr>
      </w:pPr>
      <w:r>
        <w:rPr>
          <w:rFonts w:ascii="Arial" w:hAnsi="Arial" w:cs="Arial"/>
          <w:b/>
        </w:rPr>
        <w:t>Unintended Consequences that Risk Patient Safety</w:t>
      </w:r>
    </w:p>
    <w:p w14:paraId="2EEA51F4" w14:textId="77777777" w:rsidR="00706A43" w:rsidRDefault="00706A43" w:rsidP="00706A43">
      <w:pPr>
        <w:rPr>
          <w:rFonts w:ascii="Arial" w:hAnsi="Arial" w:cs="Arial"/>
        </w:rPr>
      </w:pPr>
    </w:p>
    <w:p w14:paraId="6E56BF93" w14:textId="77777777" w:rsidR="00706A43" w:rsidRPr="00706A43" w:rsidRDefault="00706A43" w:rsidP="00706A43">
      <w:pPr>
        <w:rPr>
          <w:rFonts w:ascii="Arial" w:hAnsi="Arial" w:cs="Arial"/>
          <w:color w:val="000000"/>
        </w:rPr>
      </w:pPr>
      <w:r w:rsidRPr="00706A43">
        <w:rPr>
          <w:rFonts w:ascii="Arial" w:hAnsi="Arial" w:cs="Arial"/>
          <w:color w:val="000000"/>
        </w:rPr>
        <w:t>The policies derived from the CDC Guideline have had unintended consequences that risk harm to patient safety, including:</w:t>
      </w:r>
    </w:p>
    <w:p w14:paraId="1100649D" w14:textId="77777777" w:rsidR="00706A43" w:rsidRPr="00C160DA" w:rsidRDefault="00706A43" w:rsidP="00706A43">
      <w:pPr>
        <w:rPr>
          <w:rFonts w:ascii="Arial" w:hAnsi="Arial" w:cs="Arial"/>
          <w:b/>
          <w:bCs/>
        </w:rPr>
      </w:pPr>
    </w:p>
    <w:p w14:paraId="57209866" w14:textId="77777777" w:rsidR="00706A43" w:rsidRPr="00706A43" w:rsidRDefault="00706A43" w:rsidP="00706A43">
      <w:pPr>
        <w:rPr>
          <w:rFonts w:ascii="Arial" w:hAnsi="Arial" w:cs="Arial"/>
          <w:b/>
          <w:bCs/>
          <w:color w:val="000000"/>
        </w:rPr>
      </w:pPr>
      <w:r w:rsidRPr="00706A43">
        <w:rPr>
          <w:rFonts w:ascii="Arial" w:hAnsi="Arial" w:cs="Arial"/>
          <w:color w:val="000000"/>
        </w:rPr>
        <w:sym w:font="Symbol" w:char="F0B7"/>
      </w:r>
      <w:r w:rsidRPr="00706A43">
        <w:rPr>
          <w:rFonts w:ascii="Arial" w:hAnsi="Arial" w:cs="Arial"/>
          <w:color w:val="000000"/>
        </w:rPr>
        <w:t xml:space="preserve"> </w:t>
      </w:r>
      <w:r w:rsidRPr="00706A43">
        <w:rPr>
          <w:rFonts w:ascii="Arial" w:hAnsi="Arial" w:cs="Arial"/>
          <w:color w:val="000000"/>
        </w:rPr>
        <w:tab/>
      </w:r>
      <w:r w:rsidRPr="00706A43">
        <w:rPr>
          <w:rFonts w:ascii="Arial" w:hAnsi="Arial" w:cs="Arial"/>
          <w:b/>
          <w:bCs/>
          <w:color w:val="000000"/>
        </w:rPr>
        <w:t xml:space="preserve">Mandatory or abrupt tapering of individuals off of opioids and patient </w:t>
      </w:r>
      <w:r w:rsidRPr="00706A43">
        <w:rPr>
          <w:rFonts w:ascii="Arial" w:hAnsi="Arial" w:cs="Arial"/>
          <w:b/>
          <w:bCs/>
          <w:color w:val="000000"/>
        </w:rPr>
        <w:tab/>
        <w:t xml:space="preserve">abandonment </w:t>
      </w:r>
    </w:p>
    <w:p w14:paraId="18837832" w14:textId="77777777" w:rsidR="00706A43" w:rsidRPr="00706A43" w:rsidRDefault="00706A43" w:rsidP="00706A43">
      <w:pPr>
        <w:rPr>
          <w:rFonts w:ascii="Arial" w:hAnsi="Arial" w:cs="Arial"/>
          <w:b/>
          <w:bCs/>
          <w:color w:val="000000"/>
        </w:rPr>
      </w:pPr>
    </w:p>
    <w:p w14:paraId="06A6C24D" w14:textId="77777777" w:rsidR="00706A43" w:rsidRPr="00706A43" w:rsidRDefault="00706A43" w:rsidP="00706A43">
      <w:pPr>
        <w:rPr>
          <w:rFonts w:ascii="Arial" w:hAnsi="Arial" w:cs="Arial"/>
          <w:color w:val="000000"/>
        </w:rPr>
      </w:pPr>
      <w:r w:rsidRPr="00706A43">
        <w:rPr>
          <w:rFonts w:ascii="Arial" w:hAnsi="Arial" w:cs="Arial"/>
          <w:color w:val="000000"/>
        </w:rPr>
        <w:t>According to a report issued by Human Rights Watch, the misapplication of the CDC’s dosage threshold has resulted in doctors fearing that prescribing at higher doses will expose them to liability. This fear has led physicians to forcibly reduce or discontinue their patients’ opioids, even when they believed their patients were benefitting from the therapy.</w:t>
      </w:r>
      <w:r w:rsidRPr="00706A43">
        <w:rPr>
          <w:rStyle w:val="EndnoteReference"/>
          <w:rFonts w:ascii="Arial" w:hAnsi="Arial" w:cs="Arial"/>
          <w:color w:val="000000"/>
        </w:rPr>
        <w:endnoteReference w:id="20"/>
      </w:r>
      <w:r w:rsidRPr="00706A43">
        <w:rPr>
          <w:rFonts w:ascii="Arial" w:hAnsi="Arial" w:cs="Arial"/>
          <w:color w:val="000000"/>
        </w:rPr>
        <w:t xml:space="preserve"> Both Human Rights Watch and the Interagency Task Force describe a rise in pain patient abandonment by clinicians – even among people with long-term pain who do not use opioids.  </w:t>
      </w:r>
    </w:p>
    <w:p w14:paraId="4678B6ED" w14:textId="77777777" w:rsidR="00706A43" w:rsidRPr="00706A43" w:rsidRDefault="00706A43" w:rsidP="00706A43">
      <w:pPr>
        <w:rPr>
          <w:rFonts w:ascii="Arial" w:hAnsi="Arial" w:cs="Arial"/>
          <w:color w:val="000000"/>
        </w:rPr>
      </w:pPr>
    </w:p>
    <w:p w14:paraId="200E695B" w14:textId="77777777" w:rsidR="00706A43" w:rsidRPr="00706A43" w:rsidRDefault="00706A43" w:rsidP="00706A43">
      <w:pPr>
        <w:rPr>
          <w:rFonts w:ascii="Arial" w:hAnsi="Arial" w:cs="Arial"/>
          <w:color w:val="000000"/>
        </w:rPr>
      </w:pPr>
      <w:r w:rsidRPr="00706A43">
        <w:rPr>
          <w:rFonts w:ascii="Arial" w:hAnsi="Arial" w:cs="Arial"/>
          <w:color w:val="000000"/>
        </w:rPr>
        <w:t>There is little evidence to support forced or precipitous tapering and growing evidence that it carries grave risks of harm</w:t>
      </w:r>
      <w:r w:rsidRPr="00706A43">
        <w:rPr>
          <w:rStyle w:val="EndnoteReference"/>
          <w:rFonts w:ascii="Arial" w:hAnsi="Arial" w:cs="Arial"/>
          <w:color w:val="000000"/>
        </w:rPr>
        <w:endnoteReference w:id="21"/>
      </w:r>
      <w:r>
        <w:rPr>
          <w:rFonts w:ascii="Arial" w:hAnsi="Arial" w:cs="Arial"/>
        </w:rPr>
        <w:t>.</w:t>
      </w:r>
      <w:r>
        <w:rPr>
          <w:rFonts w:ascii="Arial" w:hAnsi="Arial" w:cs="Arial"/>
          <w:b/>
          <w:bCs/>
        </w:rPr>
        <w:t xml:space="preserve"> </w:t>
      </w:r>
      <w:r>
        <w:rPr>
          <w:rFonts w:ascii="Arial" w:hAnsi="Arial" w:cs="Arial"/>
        </w:rPr>
        <w:t xml:space="preserve"> </w:t>
      </w:r>
      <w:r w:rsidRPr="00706A43">
        <w:rPr>
          <w:rFonts w:ascii="Arial" w:hAnsi="Arial" w:cs="Arial"/>
          <w:color w:val="000000"/>
        </w:rPr>
        <w:t>Recent studies suggest that even destabilizing the dosage of a current patient may result in a fourfold increase their likelihood to suffer opioid-related death,</w:t>
      </w:r>
      <w:r w:rsidRPr="00706A43">
        <w:rPr>
          <w:rStyle w:val="EndnoteReference"/>
          <w:rFonts w:ascii="Arial" w:hAnsi="Arial" w:cs="Arial"/>
          <w:color w:val="000000"/>
        </w:rPr>
        <w:endnoteReference w:id="22"/>
      </w:r>
      <w:r w:rsidRPr="00706A43">
        <w:rPr>
          <w:rFonts w:ascii="Arial" w:hAnsi="Arial" w:cs="Arial"/>
          <w:color w:val="000000"/>
        </w:rPr>
        <w:t xml:space="preserve"> and that many people are tapered abruptly,</w:t>
      </w:r>
      <w:r w:rsidRPr="00706A43">
        <w:rPr>
          <w:rStyle w:val="EndnoteReference"/>
          <w:rFonts w:ascii="Arial" w:hAnsi="Arial" w:cs="Arial"/>
          <w:color w:val="000000"/>
        </w:rPr>
        <w:endnoteReference w:id="23"/>
      </w:r>
      <w:r w:rsidRPr="00706A43">
        <w:rPr>
          <w:rFonts w:ascii="Arial" w:hAnsi="Arial" w:cs="Arial"/>
          <w:color w:val="000000"/>
        </w:rPr>
        <w:t xml:space="preserve"> a practice the FDA recently came out strongly against citing reports of serious harm that includes increased pain, psychological distress and suicide.</w:t>
      </w:r>
      <w:r w:rsidRPr="00706A43">
        <w:rPr>
          <w:rStyle w:val="EndnoteReference"/>
          <w:rFonts w:ascii="Arial" w:hAnsi="Arial" w:cs="Arial"/>
          <w:color w:val="000000"/>
        </w:rPr>
        <w:endnoteReference w:id="24"/>
      </w:r>
      <w:r w:rsidRPr="00706A43">
        <w:rPr>
          <w:rFonts w:ascii="Arial" w:hAnsi="Arial" w:cs="Arial"/>
          <w:color w:val="000000"/>
        </w:rPr>
        <w:t xml:space="preserve"> The CDC Director made clear that the guideline “does not endorse mandated or abrupt dose reduction or discontinuation,” also noting that “these actions can result in patient harm.”</w:t>
      </w:r>
      <w:r w:rsidRPr="00706A43">
        <w:rPr>
          <w:rStyle w:val="EndnoteReference"/>
          <w:rFonts w:ascii="Arial" w:hAnsi="Arial" w:cs="Arial"/>
          <w:color w:val="000000"/>
        </w:rPr>
        <w:endnoteReference w:id="25"/>
      </w:r>
    </w:p>
    <w:p w14:paraId="63EC97EE" w14:textId="77777777" w:rsidR="00706A43" w:rsidRPr="00706A43" w:rsidRDefault="00706A43" w:rsidP="00706A43">
      <w:pPr>
        <w:rPr>
          <w:rFonts w:ascii="Arial" w:hAnsi="Arial" w:cs="Arial"/>
          <w:color w:val="000000"/>
        </w:rPr>
      </w:pPr>
    </w:p>
    <w:p w14:paraId="068D776E" w14:textId="77777777" w:rsidR="00706A43" w:rsidRPr="00706A43" w:rsidRDefault="00706A43" w:rsidP="00706A43">
      <w:pPr>
        <w:rPr>
          <w:rFonts w:ascii="Arial" w:hAnsi="Arial" w:cs="Arial"/>
          <w:b/>
          <w:bCs/>
          <w:color w:val="000000"/>
        </w:rPr>
      </w:pPr>
      <w:r w:rsidRPr="00706A43">
        <w:rPr>
          <w:rFonts w:ascii="Arial" w:hAnsi="Arial" w:cs="Arial"/>
          <w:color w:val="000000"/>
        </w:rPr>
        <w:sym w:font="Symbol" w:char="F0B7"/>
      </w:r>
      <w:r w:rsidRPr="00706A43">
        <w:rPr>
          <w:rFonts w:ascii="Arial" w:hAnsi="Arial" w:cs="Arial"/>
          <w:color w:val="000000"/>
        </w:rPr>
        <w:t xml:space="preserve">   </w:t>
      </w:r>
      <w:r w:rsidRPr="00706A43">
        <w:rPr>
          <w:rFonts w:ascii="Arial" w:hAnsi="Arial" w:cs="Arial"/>
          <w:color w:val="000000"/>
        </w:rPr>
        <w:tab/>
      </w:r>
      <w:r w:rsidRPr="00706A43">
        <w:rPr>
          <w:rFonts w:ascii="Arial" w:hAnsi="Arial" w:cs="Arial"/>
          <w:b/>
          <w:bCs/>
          <w:color w:val="000000"/>
        </w:rPr>
        <w:t xml:space="preserve">Overreach to unintended populations  </w:t>
      </w:r>
    </w:p>
    <w:p w14:paraId="7C2B7500" w14:textId="77777777" w:rsidR="00706A43" w:rsidRPr="00706A43" w:rsidRDefault="00706A43" w:rsidP="00706A43">
      <w:pPr>
        <w:rPr>
          <w:rFonts w:ascii="Arial" w:hAnsi="Arial" w:cs="Arial"/>
          <w:b/>
          <w:bCs/>
          <w:color w:val="000000"/>
        </w:rPr>
      </w:pPr>
    </w:p>
    <w:p w14:paraId="2A346A20" w14:textId="77777777" w:rsidR="00706A43" w:rsidRPr="00706A43" w:rsidRDefault="00706A43" w:rsidP="00706A43">
      <w:pPr>
        <w:rPr>
          <w:rFonts w:ascii="Arial" w:hAnsi="Arial" w:cs="Arial"/>
          <w:color w:val="000000"/>
        </w:rPr>
      </w:pPr>
      <w:r w:rsidRPr="00706A43">
        <w:rPr>
          <w:rFonts w:ascii="Arial" w:hAnsi="Arial" w:cs="Arial"/>
          <w:color w:val="000000"/>
        </w:rPr>
        <w:t>Another unintended consequence of misapplications of the guideline has been over-reach to individuals who were never intended to be covered, such as people with cancer or sickle cell disease who were expressly exempt from the CDC guideline but have experienced serious barriers to receiving medication in the current policy environment.</w:t>
      </w:r>
      <w:r w:rsidRPr="00706A43">
        <w:rPr>
          <w:rStyle w:val="EndnoteReference"/>
          <w:rFonts w:ascii="Arial" w:hAnsi="Arial" w:cs="Arial"/>
          <w:color w:val="000000"/>
        </w:rPr>
        <w:endnoteReference w:id="26"/>
      </w:r>
      <w:r w:rsidRPr="00706A43">
        <w:rPr>
          <w:rFonts w:ascii="Arial" w:hAnsi="Arial" w:cs="Arial"/>
          <w:color w:val="000000"/>
        </w:rPr>
        <w:t xml:space="preserve"> Similarly, some policies focused on acute pain have exempted people with chronic pain, but these exemptions too have proven insufficient to protect access to medication. </w:t>
      </w:r>
    </w:p>
    <w:p w14:paraId="37D82178" w14:textId="77777777" w:rsidR="00706A43" w:rsidRPr="00706A43" w:rsidRDefault="00706A43" w:rsidP="00706A43">
      <w:pPr>
        <w:rPr>
          <w:rFonts w:ascii="Arial" w:hAnsi="Arial" w:cs="Arial"/>
          <w:color w:val="000000"/>
        </w:rPr>
      </w:pPr>
    </w:p>
    <w:p w14:paraId="7988DC3F" w14:textId="77777777" w:rsidR="00706A43" w:rsidRPr="00706A43" w:rsidRDefault="00706A43" w:rsidP="00706A43">
      <w:pPr>
        <w:rPr>
          <w:rFonts w:ascii="Arial" w:hAnsi="Arial" w:cs="Arial"/>
          <w:color w:val="000000"/>
        </w:rPr>
      </w:pPr>
      <w:r w:rsidRPr="00706A43">
        <w:rPr>
          <w:rFonts w:ascii="Arial" w:hAnsi="Arial" w:cs="Arial"/>
          <w:color w:val="000000"/>
        </w:rPr>
        <w:t xml:space="preserve">Another recent statement from the CDC states that the guideline was never intended to apply to people with cancer or sickle cell nor to deny access to opioid analgesics </w:t>
      </w:r>
      <w:r w:rsidRPr="00706A43">
        <w:rPr>
          <w:rFonts w:ascii="Arial" w:hAnsi="Arial" w:cs="Arial"/>
          <w:i/>
          <w:iCs/>
          <w:color w:val="000000"/>
        </w:rPr>
        <w:t>for anyone with chronic pain</w:t>
      </w:r>
      <w:r w:rsidRPr="00706A43">
        <w:rPr>
          <w:rFonts w:ascii="Arial" w:hAnsi="Arial" w:cs="Arial"/>
          <w:color w:val="000000"/>
        </w:rPr>
        <w:t>.</w:t>
      </w:r>
      <w:r w:rsidRPr="00706A43">
        <w:rPr>
          <w:rStyle w:val="EndnoteReference"/>
          <w:rFonts w:ascii="Arial" w:hAnsi="Arial" w:cs="Arial"/>
          <w:color w:val="000000"/>
        </w:rPr>
        <w:endnoteReference w:id="27"/>
      </w:r>
      <w:r w:rsidRPr="00706A43">
        <w:rPr>
          <w:rFonts w:ascii="Arial" w:hAnsi="Arial" w:cs="Arial"/>
          <w:color w:val="000000"/>
        </w:rPr>
        <w:t xml:space="preserve"> The CDC and all professional guidelines caution doctors not to use opioids as a first or second line of treatment, but all provide for access to opioid analgesia where people are properly screened and other treatment modalities have failed.  </w:t>
      </w:r>
    </w:p>
    <w:p w14:paraId="12764D0F" w14:textId="77777777" w:rsidR="00706A43" w:rsidRPr="00706A43" w:rsidRDefault="00706A43" w:rsidP="00706A43">
      <w:pPr>
        <w:rPr>
          <w:rFonts w:ascii="Arial" w:hAnsi="Arial" w:cs="Arial"/>
          <w:color w:val="000000"/>
        </w:rPr>
      </w:pPr>
    </w:p>
    <w:p w14:paraId="5F76E8C7" w14:textId="77777777" w:rsidR="00706A43" w:rsidRPr="00706A43" w:rsidRDefault="00706A43" w:rsidP="00706A43">
      <w:pPr>
        <w:rPr>
          <w:rFonts w:ascii="Arial" w:hAnsi="Arial" w:cs="Arial"/>
          <w:b/>
          <w:bCs/>
          <w:color w:val="000000"/>
        </w:rPr>
      </w:pPr>
      <w:r>
        <w:rPr>
          <w:rFonts w:ascii="Arial" w:hAnsi="Arial" w:cs="Arial"/>
          <w:b/>
        </w:rPr>
        <w:t>The Changing Environment</w:t>
      </w:r>
      <w:r>
        <w:rPr>
          <w:rFonts w:ascii="Arial" w:hAnsi="Arial" w:cs="Arial"/>
        </w:rPr>
        <w:t xml:space="preserve"> </w:t>
      </w:r>
    </w:p>
    <w:p w14:paraId="6FCCFA33" w14:textId="77777777" w:rsidR="00706A43" w:rsidRPr="00706A43" w:rsidRDefault="00706A43" w:rsidP="00706A43">
      <w:pPr>
        <w:rPr>
          <w:rFonts w:ascii="Arial" w:hAnsi="Arial" w:cs="Arial"/>
          <w:b/>
          <w:bCs/>
          <w:color w:val="000000"/>
        </w:rPr>
      </w:pPr>
    </w:p>
    <w:p w14:paraId="25A7638D" w14:textId="77777777" w:rsidR="00706A43" w:rsidRPr="00706A43" w:rsidRDefault="00706A43" w:rsidP="00706A43">
      <w:pPr>
        <w:rPr>
          <w:rFonts w:ascii="Arial" w:hAnsi="Arial" w:cs="Arial"/>
          <w:color w:val="000000"/>
        </w:rPr>
      </w:pPr>
      <w:r>
        <w:rPr>
          <w:rFonts w:ascii="Arial" w:hAnsi="Arial" w:cs="Arial"/>
          <w:color w:val="000000"/>
        </w:rPr>
        <w:t>O</w:t>
      </w:r>
      <w:r w:rsidRPr="00825465">
        <w:rPr>
          <w:rFonts w:ascii="Arial" w:hAnsi="Arial" w:cs="Arial"/>
          <w:color w:val="000000"/>
        </w:rPr>
        <w:t>pioid prescribing has dropped dramatically</w:t>
      </w:r>
      <w:r>
        <w:rPr>
          <w:rFonts w:ascii="Arial" w:hAnsi="Arial" w:cs="Arial"/>
          <w:color w:val="000000"/>
        </w:rPr>
        <w:t>: t</w:t>
      </w:r>
      <w:r w:rsidRPr="00825465">
        <w:rPr>
          <w:rFonts w:ascii="Arial" w:hAnsi="Arial" w:cs="Arial"/>
        </w:rPr>
        <w:t xml:space="preserve">he number of prescriptions dispensed at pharmacies </w:t>
      </w:r>
      <w:r>
        <w:rPr>
          <w:rFonts w:ascii="Arial" w:hAnsi="Arial" w:cs="Arial"/>
        </w:rPr>
        <w:t xml:space="preserve">is </w:t>
      </w:r>
      <w:r w:rsidRPr="00825465">
        <w:rPr>
          <w:rFonts w:ascii="Arial" w:hAnsi="Arial" w:cs="Arial"/>
        </w:rPr>
        <w:t>at a 15-year low</w:t>
      </w:r>
      <w:r>
        <w:rPr>
          <w:rStyle w:val="EndnoteReference"/>
          <w:rFonts w:ascii="Arial" w:hAnsi="Arial" w:cs="Arial"/>
        </w:rPr>
        <w:endnoteReference w:id="28"/>
      </w:r>
      <w:r w:rsidRPr="00825465">
        <w:rPr>
          <w:rFonts w:ascii="Arial" w:hAnsi="Arial" w:cs="Arial"/>
        </w:rPr>
        <w:t xml:space="preserve">. </w:t>
      </w:r>
      <w:r>
        <w:rPr>
          <w:rFonts w:ascii="Arial" w:hAnsi="Arial" w:cs="Arial"/>
        </w:rPr>
        <w:t xml:space="preserve"> Moreover, d</w:t>
      </w:r>
      <w:r w:rsidRPr="00825465">
        <w:rPr>
          <w:rFonts w:ascii="Arial" w:hAnsi="Arial" w:cs="Arial"/>
        </w:rPr>
        <w:t xml:space="preserve">octors are </w:t>
      </w:r>
      <w:r>
        <w:rPr>
          <w:rFonts w:ascii="Arial" w:hAnsi="Arial" w:cs="Arial"/>
        </w:rPr>
        <w:t xml:space="preserve">now </w:t>
      </w:r>
      <w:r w:rsidRPr="00825465">
        <w:rPr>
          <w:rFonts w:ascii="Arial" w:hAnsi="Arial" w:cs="Arial"/>
        </w:rPr>
        <w:t xml:space="preserve">much more reluctant to prescribe an opioid to someone who hasn’t been exposed to </w:t>
      </w:r>
      <w:r w:rsidRPr="00905718">
        <w:rPr>
          <w:rFonts w:ascii="Arial" w:hAnsi="Arial" w:cs="Arial"/>
        </w:rPr>
        <w:t>them</w:t>
      </w:r>
      <w:r>
        <w:rPr>
          <w:rFonts w:ascii="Arial" w:hAnsi="Arial" w:cs="Arial"/>
        </w:rPr>
        <w:t>.</w:t>
      </w:r>
      <w:r>
        <w:rPr>
          <w:rStyle w:val="EndnoteReference"/>
          <w:rFonts w:ascii="Arial" w:hAnsi="Arial" w:cs="Arial"/>
        </w:rPr>
        <w:endnoteReference w:id="29"/>
      </w:r>
      <w:r>
        <w:rPr>
          <w:rFonts w:ascii="Arial" w:hAnsi="Arial" w:cs="Arial"/>
        </w:rPr>
        <w:t xml:space="preserve"> At this juncture and to avoid further harm, responsible prescribing that prioritizes </w:t>
      </w:r>
      <w:r w:rsidRPr="00825465">
        <w:rPr>
          <w:rFonts w:ascii="Arial" w:hAnsi="Arial" w:cs="Arial"/>
        </w:rPr>
        <w:t>i</w:t>
      </w:r>
      <w:r w:rsidRPr="00706A43">
        <w:rPr>
          <w:rFonts w:ascii="Arial" w:hAnsi="Arial" w:cs="Arial"/>
          <w:color w:val="000000"/>
        </w:rPr>
        <w:t>ndividualized treatment over one-size-fits-all limits should be encouraged.</w:t>
      </w:r>
    </w:p>
    <w:p w14:paraId="21A2D6CA" w14:textId="77777777" w:rsidR="00706A43" w:rsidRDefault="00706A43" w:rsidP="00706A43">
      <w:pPr>
        <w:rPr>
          <w:rFonts w:ascii="Arial" w:hAnsi="Arial" w:cs="Arial"/>
          <w:color w:val="000000"/>
        </w:rPr>
      </w:pPr>
    </w:p>
    <w:p w14:paraId="7F16D08E" w14:textId="77777777" w:rsidR="00706A43" w:rsidRPr="00706A43" w:rsidRDefault="00706A43" w:rsidP="00706A43">
      <w:pPr>
        <w:rPr>
          <w:rFonts w:ascii="Arial" w:hAnsi="Arial" w:cs="Arial"/>
          <w:color w:val="000000"/>
        </w:rPr>
      </w:pPr>
    </w:p>
    <w:p w14:paraId="294BDB3D" w14:textId="77777777" w:rsidR="00706A43" w:rsidRPr="00706A43" w:rsidRDefault="00706A43" w:rsidP="00706A43">
      <w:pPr>
        <w:rPr>
          <w:rFonts w:ascii="Arial" w:hAnsi="Arial" w:cs="Arial"/>
          <w:b/>
          <w:bCs/>
          <w:color w:val="000000"/>
        </w:rPr>
      </w:pPr>
      <w:r w:rsidRPr="00706A43">
        <w:rPr>
          <w:rFonts w:ascii="Arial" w:hAnsi="Arial" w:cs="Arial"/>
          <w:b/>
          <w:bCs/>
          <w:color w:val="000000"/>
        </w:rPr>
        <w:t>The Need for Comprehensive Care</w:t>
      </w:r>
    </w:p>
    <w:p w14:paraId="5E266C2E" w14:textId="77777777" w:rsidR="00706A43" w:rsidRPr="00706A43" w:rsidRDefault="00706A43" w:rsidP="00706A43">
      <w:pPr>
        <w:rPr>
          <w:rFonts w:ascii="Arial" w:hAnsi="Arial" w:cs="Arial"/>
          <w:b/>
          <w:bCs/>
          <w:color w:val="000000"/>
        </w:rPr>
      </w:pPr>
    </w:p>
    <w:p w14:paraId="03110352" w14:textId="77777777" w:rsidR="00706A43" w:rsidRDefault="00706A43" w:rsidP="00706A43">
      <w:pPr>
        <w:rPr>
          <w:rFonts w:ascii="Arial" w:hAnsi="Arial" w:cs="Arial"/>
          <w:b/>
          <w:bCs/>
          <w:noProof/>
        </w:rPr>
      </w:pPr>
      <w:r>
        <w:rPr>
          <w:rFonts w:ascii="Arial" w:hAnsi="Arial" w:cs="Arial"/>
        </w:rPr>
        <w:t>Finally, although s</w:t>
      </w:r>
      <w:r w:rsidRPr="00626028">
        <w:rPr>
          <w:rFonts w:ascii="Arial" w:hAnsi="Arial" w:cs="Arial"/>
        </w:rPr>
        <w:t xml:space="preserve">ome </w:t>
      </w:r>
      <w:r>
        <w:rPr>
          <w:rFonts w:ascii="Arial" w:hAnsi="Arial" w:cs="Arial"/>
        </w:rPr>
        <w:t xml:space="preserve">individuals with disabilities </w:t>
      </w:r>
      <w:r w:rsidRPr="00626028">
        <w:rPr>
          <w:rFonts w:ascii="Arial" w:hAnsi="Arial" w:cs="Arial"/>
        </w:rPr>
        <w:t>use opioids to manage their pain</w:t>
      </w:r>
      <w:r>
        <w:rPr>
          <w:rFonts w:ascii="Arial" w:hAnsi="Arial" w:cs="Arial"/>
        </w:rPr>
        <w:t>, no single treatment modality is effective for everyone; rather it is often a combination of treatments that allows individuals to most effectively manage their pain. For this reason, access to the full spectrum of available treatment modalities is essential. Yet as the Inter–Agency Task Force report found, significant administrative and logistical barriers to the treatment of pain in a multidisciplinary or integrative way exist in the current healthcare system. Although we have reduced opioid prescribing, there has not been a responsive increase in access to or coverage of non-opioid treatment, and people in pain suffer as a result. Our policies need to focus on implementing the road maps for increasing comprehensive care that have been recommended by the Inter-Agency Task Force and in the National Pain Strategy.</w:t>
      </w:r>
      <w:r w:rsidRPr="00706A43">
        <w:rPr>
          <w:rStyle w:val="EndnoteReference"/>
          <w:rFonts w:ascii="Arial" w:hAnsi="Arial" w:cs="Arial"/>
          <w:color w:val="000000"/>
        </w:rPr>
        <w:t xml:space="preserve"> </w:t>
      </w:r>
      <w:r w:rsidRPr="00706A43">
        <w:rPr>
          <w:rStyle w:val="EndnoteReference"/>
          <w:rFonts w:ascii="Arial" w:hAnsi="Arial" w:cs="Arial"/>
          <w:color w:val="000000"/>
        </w:rPr>
        <w:endnoteReference w:id="30"/>
      </w:r>
      <w:r w:rsidRPr="00706A43">
        <w:rPr>
          <w:rFonts w:ascii="Arial" w:hAnsi="Arial" w:cs="Arial"/>
          <w:color w:val="000000"/>
        </w:rPr>
        <w:t xml:space="preserve"> </w:t>
      </w:r>
      <w:r>
        <w:rPr>
          <w:rFonts w:ascii="Arial" w:hAnsi="Arial" w:cs="Arial"/>
        </w:rPr>
        <w:t xml:space="preserve">  </w:t>
      </w:r>
    </w:p>
    <w:p w14:paraId="3EB915C4" w14:textId="77777777" w:rsidR="00706A43" w:rsidRPr="00706A43" w:rsidRDefault="00706A43" w:rsidP="00706A43">
      <w:pPr>
        <w:rPr>
          <w:rFonts w:ascii="Arial" w:hAnsi="Arial" w:cs="Arial"/>
          <w:b/>
          <w:bCs/>
          <w:color w:val="000000"/>
        </w:rPr>
      </w:pPr>
    </w:p>
    <w:p w14:paraId="5D84C3CA" w14:textId="77777777" w:rsidR="00706A43" w:rsidRPr="00706A43" w:rsidRDefault="00706A43" w:rsidP="00706A43">
      <w:pPr>
        <w:rPr>
          <w:rFonts w:ascii="Arial" w:hAnsi="Arial" w:cs="Arial"/>
          <w:color w:val="000000"/>
        </w:rPr>
      </w:pPr>
      <w:r w:rsidRPr="00706A43">
        <w:rPr>
          <w:rFonts w:ascii="Arial" w:hAnsi="Arial" w:cs="Arial"/>
          <w:color w:val="000000"/>
        </w:rPr>
        <w:t>In conclusion, pain and addiction are distinct problems, but the way in which they have intersected in our recent history suggests that, if we are to avoid future emergencies, policies addressing the crisis should consider and comprehensively address both conditions, which are the prevalent, under-treated, and misunderstood public health issues of our time. As we navigate this terrain, those who promulgate laws and policies need to consider the input of people with lived experience and include people with disabilities who are too often left out of policy discussions. Despite the strong correlation between serious pain and disability in all population level research, for example, persons with disabilities were omitted as a population warranting special consideration from the recent Inter-Agency Task Force report, despite having been included in the 2016 National Pain Strategy.</w:t>
      </w:r>
    </w:p>
    <w:p w14:paraId="49580715" w14:textId="77777777" w:rsidR="00706A43" w:rsidRPr="00706A43" w:rsidRDefault="00706A43" w:rsidP="00706A43">
      <w:pPr>
        <w:rPr>
          <w:rFonts w:ascii="Arial" w:hAnsi="Arial" w:cs="Arial"/>
          <w:b/>
          <w:bCs/>
          <w:color w:val="000000"/>
        </w:rPr>
      </w:pPr>
    </w:p>
    <w:p w14:paraId="51147D48" w14:textId="77777777" w:rsidR="00706A43" w:rsidRPr="00706A43" w:rsidRDefault="00706A43" w:rsidP="00706A43">
      <w:pPr>
        <w:rPr>
          <w:rFonts w:ascii="Arial" w:hAnsi="Arial" w:cs="Arial"/>
          <w:color w:val="000000"/>
        </w:rPr>
      </w:pPr>
      <w:r w:rsidRPr="00706A43">
        <w:rPr>
          <w:rFonts w:ascii="Arial" w:hAnsi="Arial" w:cs="Arial"/>
          <w:color w:val="000000"/>
        </w:rPr>
        <w:t xml:space="preserve">We, the undersigned organizations, urge you to take our concerns and recommendations into account and to work with us. Please feel free to contact: Kate Nicholson (Kate@katenicholson.com) and Lindsay Baran (Lindsay@ncil.org), Co-Chairs of the National Council on Independent Living (NCIL) Chronic Pain/ Opioids Task Force. </w:t>
      </w:r>
    </w:p>
    <w:p w14:paraId="1A170608" w14:textId="77777777" w:rsidR="00706A43" w:rsidRPr="00706A43" w:rsidRDefault="00706A43" w:rsidP="00706A43">
      <w:pPr>
        <w:rPr>
          <w:rFonts w:ascii="Arial" w:hAnsi="Arial" w:cs="Arial"/>
          <w:color w:val="000000"/>
        </w:rPr>
      </w:pPr>
      <w:r w:rsidRPr="00706A43">
        <w:rPr>
          <w:rFonts w:ascii="Arial" w:hAnsi="Arial" w:cs="Arial"/>
          <w:color w:val="000000"/>
        </w:rPr>
        <w:t xml:space="preserve"> </w:t>
      </w:r>
    </w:p>
    <w:p w14:paraId="004F1057" w14:textId="77777777" w:rsidR="00706A43" w:rsidRPr="00706A43" w:rsidRDefault="00706A43" w:rsidP="00706A43">
      <w:pPr>
        <w:rPr>
          <w:rFonts w:ascii="Arial" w:hAnsi="Arial" w:cs="Arial"/>
          <w:color w:val="000000"/>
        </w:rPr>
      </w:pPr>
      <w:r w:rsidRPr="00706A43">
        <w:rPr>
          <w:rFonts w:ascii="Arial" w:hAnsi="Arial" w:cs="Arial"/>
          <w:color w:val="000000"/>
        </w:rPr>
        <w:t>Sincerely,</w:t>
      </w:r>
    </w:p>
    <w:p w14:paraId="74328C41" w14:textId="77777777" w:rsidR="00706A43" w:rsidRPr="00706A43" w:rsidRDefault="00706A43" w:rsidP="00706A43">
      <w:pPr>
        <w:rPr>
          <w:rFonts w:ascii="Arial" w:hAnsi="Arial" w:cs="Arial"/>
          <w:color w:val="000000"/>
        </w:rPr>
      </w:pPr>
    </w:p>
    <w:p w14:paraId="523B91B9" w14:textId="77777777" w:rsidR="00706A43" w:rsidRPr="00706A43" w:rsidRDefault="00706A43" w:rsidP="00706A43">
      <w:pPr>
        <w:rPr>
          <w:rFonts w:ascii="Arial" w:hAnsi="Arial" w:cs="Arial"/>
          <w:b/>
          <w:i/>
          <w:color w:val="000000"/>
        </w:rPr>
      </w:pPr>
      <w:r w:rsidRPr="00706A43">
        <w:rPr>
          <w:rFonts w:ascii="Arial" w:hAnsi="Arial" w:cs="Arial"/>
          <w:b/>
          <w:i/>
          <w:color w:val="000000"/>
        </w:rPr>
        <w:t>National Organizations</w:t>
      </w:r>
    </w:p>
    <w:p w14:paraId="52525506" w14:textId="77777777" w:rsidR="00706A43" w:rsidRPr="00F037D3" w:rsidRDefault="00706A43" w:rsidP="00706A43">
      <w:pPr>
        <w:rPr>
          <w:rFonts w:ascii="Arial" w:hAnsi="Arial" w:cs="Arial"/>
        </w:rPr>
      </w:pPr>
      <w:r w:rsidRPr="00F037D3">
        <w:rPr>
          <w:rFonts w:ascii="Arial" w:hAnsi="Arial" w:cs="Arial"/>
        </w:rPr>
        <w:t>National Council on Independent Living</w:t>
      </w:r>
    </w:p>
    <w:p w14:paraId="3B94B9D2" w14:textId="77777777" w:rsidR="00706A43" w:rsidRPr="00F037D3" w:rsidRDefault="00706A43" w:rsidP="00706A43">
      <w:pPr>
        <w:rPr>
          <w:rFonts w:ascii="Arial" w:hAnsi="Arial" w:cs="Arial"/>
        </w:rPr>
      </w:pPr>
      <w:r w:rsidRPr="00F037D3">
        <w:rPr>
          <w:rFonts w:ascii="Arial" w:hAnsi="Arial" w:cs="Arial"/>
        </w:rPr>
        <w:t>ADAPT</w:t>
      </w:r>
    </w:p>
    <w:p w14:paraId="53A983AE" w14:textId="77777777" w:rsidR="00706A43" w:rsidRPr="00F037D3" w:rsidRDefault="00706A43" w:rsidP="00706A43">
      <w:pPr>
        <w:rPr>
          <w:rFonts w:ascii="Arial" w:hAnsi="Arial" w:cs="Arial"/>
        </w:rPr>
      </w:pPr>
      <w:r w:rsidRPr="00F037D3">
        <w:rPr>
          <w:rFonts w:ascii="Arial" w:hAnsi="Arial" w:cs="Arial"/>
        </w:rPr>
        <w:t>American Association of People with Disabilities</w:t>
      </w:r>
    </w:p>
    <w:p w14:paraId="292D949C" w14:textId="77777777" w:rsidR="00706A43" w:rsidRPr="00F037D3" w:rsidRDefault="00706A43" w:rsidP="00706A43">
      <w:pPr>
        <w:rPr>
          <w:rFonts w:ascii="Arial" w:hAnsi="Arial" w:cs="Arial"/>
        </w:rPr>
      </w:pPr>
      <w:r w:rsidRPr="00F037D3">
        <w:rPr>
          <w:rFonts w:ascii="Arial" w:hAnsi="Arial" w:cs="Arial"/>
        </w:rPr>
        <w:t>American Association on Intellectual and Developmental Disabilities</w:t>
      </w:r>
    </w:p>
    <w:p w14:paraId="54AAFBD0" w14:textId="77777777" w:rsidR="00706A43" w:rsidRPr="00F037D3" w:rsidRDefault="00706A43" w:rsidP="00706A43">
      <w:pPr>
        <w:rPr>
          <w:rFonts w:ascii="Arial" w:hAnsi="Arial" w:cs="Arial"/>
        </w:rPr>
      </w:pPr>
      <w:r w:rsidRPr="00F037D3">
        <w:rPr>
          <w:rFonts w:ascii="Arial" w:hAnsi="Arial" w:cs="Arial"/>
        </w:rPr>
        <w:t>American Physical Therapy Association</w:t>
      </w:r>
    </w:p>
    <w:p w14:paraId="7ED334A9" w14:textId="77777777" w:rsidR="00706A43" w:rsidRPr="00F037D3" w:rsidRDefault="00706A43" w:rsidP="00706A43">
      <w:pPr>
        <w:rPr>
          <w:rFonts w:ascii="Arial" w:hAnsi="Arial" w:cs="Arial"/>
        </w:rPr>
      </w:pPr>
      <w:r w:rsidRPr="00F037D3">
        <w:rPr>
          <w:rFonts w:ascii="Arial" w:hAnsi="Arial" w:cs="Arial"/>
        </w:rPr>
        <w:t>Association of Programs for Rural Independent Living</w:t>
      </w:r>
    </w:p>
    <w:p w14:paraId="079844DD" w14:textId="77777777" w:rsidR="00706A43" w:rsidRPr="00F037D3" w:rsidRDefault="00706A43" w:rsidP="00706A43">
      <w:pPr>
        <w:rPr>
          <w:rFonts w:ascii="Arial" w:hAnsi="Arial" w:cs="Arial"/>
        </w:rPr>
      </w:pPr>
      <w:r w:rsidRPr="00F037D3">
        <w:rPr>
          <w:rFonts w:ascii="Arial" w:hAnsi="Arial" w:cs="Arial"/>
        </w:rPr>
        <w:t>Association of University Centers on Disability</w:t>
      </w:r>
    </w:p>
    <w:p w14:paraId="7796835C" w14:textId="77777777" w:rsidR="00706A43" w:rsidRPr="00F037D3" w:rsidRDefault="00706A43" w:rsidP="00706A43">
      <w:pPr>
        <w:rPr>
          <w:rFonts w:ascii="Arial" w:hAnsi="Arial" w:cs="Arial"/>
        </w:rPr>
      </w:pPr>
      <w:r w:rsidRPr="00F037D3">
        <w:rPr>
          <w:rFonts w:ascii="Arial" w:hAnsi="Arial" w:cs="Arial"/>
        </w:rPr>
        <w:t>Autistic Self Advocacy Network</w:t>
      </w:r>
    </w:p>
    <w:p w14:paraId="643A5FA6" w14:textId="77777777" w:rsidR="00706A43" w:rsidRPr="00F037D3" w:rsidRDefault="00706A43" w:rsidP="00706A43">
      <w:pPr>
        <w:rPr>
          <w:rFonts w:ascii="Arial" w:hAnsi="Arial" w:cs="Arial"/>
        </w:rPr>
      </w:pPr>
      <w:r w:rsidRPr="00F037D3">
        <w:rPr>
          <w:rFonts w:ascii="Arial" w:hAnsi="Arial" w:cs="Arial"/>
        </w:rPr>
        <w:t>Autistic Women &amp; Nonbinary Network</w:t>
      </w:r>
    </w:p>
    <w:p w14:paraId="2E744DA1" w14:textId="77777777" w:rsidR="00706A43" w:rsidRPr="00F037D3" w:rsidRDefault="00706A43" w:rsidP="00706A43">
      <w:pPr>
        <w:rPr>
          <w:rFonts w:ascii="Arial" w:hAnsi="Arial" w:cs="Arial"/>
        </w:rPr>
      </w:pPr>
      <w:r w:rsidRPr="00F037D3">
        <w:rPr>
          <w:rFonts w:ascii="Arial" w:hAnsi="Arial" w:cs="Arial"/>
        </w:rPr>
        <w:t>Bazelon Center for Mental Health Law</w:t>
      </w:r>
    </w:p>
    <w:p w14:paraId="3ED2E9A9" w14:textId="77777777" w:rsidR="00706A43" w:rsidRPr="00F037D3" w:rsidRDefault="00706A43" w:rsidP="00706A43">
      <w:pPr>
        <w:rPr>
          <w:rFonts w:ascii="Arial" w:hAnsi="Arial" w:cs="Arial"/>
        </w:rPr>
      </w:pPr>
      <w:r w:rsidRPr="00F037D3">
        <w:rPr>
          <w:rFonts w:ascii="Arial" w:hAnsi="Arial" w:cs="Arial"/>
        </w:rPr>
        <w:t>Bloom’s Connect</w:t>
      </w:r>
    </w:p>
    <w:p w14:paraId="3C5ADFDF" w14:textId="77777777" w:rsidR="00706A43" w:rsidRPr="00F037D3" w:rsidRDefault="00706A43" w:rsidP="00706A43">
      <w:pPr>
        <w:rPr>
          <w:rFonts w:ascii="Arial" w:hAnsi="Arial" w:cs="Arial"/>
        </w:rPr>
      </w:pPr>
      <w:r w:rsidRPr="00F037D3">
        <w:rPr>
          <w:rFonts w:ascii="Arial" w:hAnsi="Arial" w:cs="Arial"/>
        </w:rPr>
        <w:t>Center for Public Representation</w:t>
      </w:r>
    </w:p>
    <w:p w14:paraId="054B41EF" w14:textId="77777777" w:rsidR="00706A43" w:rsidRPr="00F037D3" w:rsidRDefault="00706A43" w:rsidP="00706A43">
      <w:pPr>
        <w:rPr>
          <w:rFonts w:ascii="Arial" w:hAnsi="Arial" w:cs="Arial"/>
        </w:rPr>
      </w:pPr>
      <w:r w:rsidRPr="00F037D3">
        <w:rPr>
          <w:rFonts w:ascii="Arial" w:hAnsi="Arial" w:cs="Arial"/>
        </w:rPr>
        <w:t>Disability Rights Education &amp; Defense Fund</w:t>
      </w:r>
    </w:p>
    <w:p w14:paraId="332D3216" w14:textId="77777777" w:rsidR="00706A43" w:rsidRPr="00F037D3" w:rsidRDefault="00706A43" w:rsidP="00706A43">
      <w:pPr>
        <w:rPr>
          <w:rFonts w:ascii="Arial" w:hAnsi="Arial" w:cs="Arial"/>
        </w:rPr>
      </w:pPr>
      <w:r w:rsidRPr="00F037D3">
        <w:rPr>
          <w:rFonts w:ascii="Arial" w:hAnsi="Arial" w:cs="Arial"/>
        </w:rPr>
        <w:t>DQIA Disabled Queers In Action</w:t>
      </w:r>
    </w:p>
    <w:p w14:paraId="67E73BAC" w14:textId="77777777" w:rsidR="00706A43" w:rsidRPr="00F037D3" w:rsidRDefault="00706A43" w:rsidP="00706A43">
      <w:pPr>
        <w:rPr>
          <w:rFonts w:ascii="Arial" w:hAnsi="Arial" w:cs="Arial"/>
        </w:rPr>
      </w:pPr>
      <w:r w:rsidRPr="00F037D3">
        <w:rPr>
          <w:rFonts w:ascii="Arial" w:hAnsi="Arial" w:cs="Arial"/>
        </w:rPr>
        <w:t>Healthcare Rights Coalition</w:t>
      </w:r>
    </w:p>
    <w:p w14:paraId="09503787" w14:textId="77777777" w:rsidR="00706A43" w:rsidRPr="00F037D3" w:rsidRDefault="00706A43" w:rsidP="00706A43">
      <w:pPr>
        <w:rPr>
          <w:rFonts w:ascii="Arial" w:hAnsi="Arial" w:cs="Arial"/>
        </w:rPr>
      </w:pPr>
      <w:r w:rsidRPr="00F037D3">
        <w:rPr>
          <w:rFonts w:ascii="Arial" w:hAnsi="Arial" w:cs="Arial"/>
        </w:rPr>
        <w:t>Justice in Aging</w:t>
      </w:r>
    </w:p>
    <w:p w14:paraId="656EEC37" w14:textId="77777777" w:rsidR="00706A43" w:rsidRPr="00F037D3" w:rsidRDefault="00706A43" w:rsidP="00706A43">
      <w:pPr>
        <w:rPr>
          <w:rFonts w:ascii="Arial" w:hAnsi="Arial" w:cs="Arial"/>
        </w:rPr>
      </w:pPr>
      <w:r w:rsidRPr="00F037D3">
        <w:rPr>
          <w:rFonts w:ascii="Arial" w:hAnsi="Arial" w:cs="Arial"/>
        </w:rPr>
        <w:t>National Rehabilitation Association</w:t>
      </w:r>
    </w:p>
    <w:p w14:paraId="6B68E055" w14:textId="77777777" w:rsidR="00706A43" w:rsidRPr="00F037D3" w:rsidRDefault="00706A43" w:rsidP="00706A43">
      <w:pPr>
        <w:rPr>
          <w:rFonts w:ascii="Arial" w:hAnsi="Arial" w:cs="Arial"/>
        </w:rPr>
      </w:pPr>
      <w:r w:rsidRPr="00F037D3">
        <w:rPr>
          <w:rFonts w:ascii="Arial" w:hAnsi="Arial" w:cs="Arial"/>
        </w:rPr>
        <w:t>Not Dead Yet</w:t>
      </w:r>
    </w:p>
    <w:p w14:paraId="3172FB5D" w14:textId="77777777" w:rsidR="00706A43" w:rsidRPr="00F037D3" w:rsidRDefault="00706A43" w:rsidP="00706A43">
      <w:pPr>
        <w:rPr>
          <w:rFonts w:ascii="Arial" w:hAnsi="Arial" w:cs="Arial"/>
        </w:rPr>
      </w:pPr>
      <w:r w:rsidRPr="00F037D3">
        <w:rPr>
          <w:rFonts w:ascii="Arial" w:hAnsi="Arial" w:cs="Arial"/>
        </w:rPr>
        <w:t>Paralyzed Veterans of America</w:t>
      </w:r>
    </w:p>
    <w:p w14:paraId="2321FA93" w14:textId="77777777" w:rsidR="00706A43" w:rsidRPr="00F037D3" w:rsidRDefault="00706A43" w:rsidP="00706A43">
      <w:pPr>
        <w:rPr>
          <w:rFonts w:ascii="Arial" w:hAnsi="Arial" w:cs="Arial"/>
        </w:rPr>
      </w:pPr>
      <w:r w:rsidRPr="00F037D3">
        <w:rPr>
          <w:rFonts w:ascii="Arial" w:hAnsi="Arial" w:cs="Arial"/>
        </w:rPr>
        <w:t>Partnership for Inclusive Disaster Strategies</w:t>
      </w:r>
    </w:p>
    <w:p w14:paraId="6996A06F" w14:textId="77777777" w:rsidR="00706A43" w:rsidRPr="00F037D3" w:rsidRDefault="00706A43" w:rsidP="00706A43">
      <w:pPr>
        <w:rPr>
          <w:rFonts w:ascii="Arial" w:hAnsi="Arial" w:cs="Arial"/>
        </w:rPr>
      </w:pPr>
      <w:r w:rsidRPr="00F037D3">
        <w:rPr>
          <w:rFonts w:ascii="Arial" w:hAnsi="Arial" w:cs="Arial"/>
        </w:rPr>
        <w:t>Radical Abolitionist: A Cognitive Liberty Blogspace</w:t>
      </w:r>
    </w:p>
    <w:p w14:paraId="5295A3A8" w14:textId="77777777" w:rsidR="00706A43" w:rsidRPr="00F037D3" w:rsidRDefault="00706A43" w:rsidP="00706A43">
      <w:pPr>
        <w:rPr>
          <w:rFonts w:ascii="Arial" w:hAnsi="Arial" w:cs="Arial"/>
        </w:rPr>
      </w:pPr>
      <w:r w:rsidRPr="00F037D3">
        <w:rPr>
          <w:rFonts w:ascii="Arial" w:hAnsi="Arial" w:cs="Arial"/>
        </w:rPr>
        <w:t>RespectAbility</w:t>
      </w:r>
    </w:p>
    <w:p w14:paraId="51B43BFF" w14:textId="77777777" w:rsidR="00706A43" w:rsidRPr="00F037D3" w:rsidRDefault="00706A43" w:rsidP="00706A43">
      <w:pPr>
        <w:rPr>
          <w:rFonts w:ascii="Arial" w:hAnsi="Arial" w:cs="Arial"/>
        </w:rPr>
      </w:pPr>
      <w:r w:rsidRPr="00F037D3">
        <w:rPr>
          <w:rFonts w:ascii="Arial" w:hAnsi="Arial" w:cs="Arial"/>
        </w:rPr>
        <w:t>Self Advocates Becoming Empowered</w:t>
      </w:r>
    </w:p>
    <w:p w14:paraId="0A6E88EC" w14:textId="77777777" w:rsidR="00706A43" w:rsidRPr="00F037D3" w:rsidRDefault="00706A43" w:rsidP="00706A43">
      <w:pPr>
        <w:rPr>
          <w:rFonts w:ascii="Arial" w:hAnsi="Arial" w:cs="Arial"/>
        </w:rPr>
      </w:pPr>
      <w:r w:rsidRPr="00F037D3">
        <w:rPr>
          <w:rFonts w:ascii="Arial" w:hAnsi="Arial" w:cs="Arial"/>
        </w:rPr>
        <w:t>Survivors Empowered Action Fund</w:t>
      </w:r>
    </w:p>
    <w:p w14:paraId="4D876CB2" w14:textId="7B131F9C" w:rsidR="00706A43" w:rsidRDefault="00706A43" w:rsidP="00706A43">
      <w:pPr>
        <w:rPr>
          <w:rFonts w:ascii="Arial" w:hAnsi="Arial" w:cs="Arial"/>
        </w:rPr>
      </w:pPr>
      <w:r w:rsidRPr="00F037D3">
        <w:rPr>
          <w:rFonts w:ascii="Arial" w:hAnsi="Arial" w:cs="Arial"/>
        </w:rPr>
        <w:t>TASH</w:t>
      </w:r>
    </w:p>
    <w:p w14:paraId="3D9D04C8" w14:textId="77777777" w:rsidR="00D351C0" w:rsidRPr="00F037D3" w:rsidRDefault="00D351C0" w:rsidP="00D351C0">
      <w:pPr>
        <w:rPr>
          <w:rFonts w:ascii="Arial" w:hAnsi="Arial" w:cs="Arial"/>
        </w:rPr>
      </w:pPr>
      <w:r w:rsidRPr="00F037D3">
        <w:rPr>
          <w:rFonts w:ascii="Arial" w:hAnsi="Arial" w:cs="Arial"/>
        </w:rPr>
        <w:t>The Arc of the United States</w:t>
      </w:r>
    </w:p>
    <w:p w14:paraId="2BD999DB" w14:textId="77777777" w:rsidR="00D351C0" w:rsidRPr="00F037D3" w:rsidRDefault="00D351C0" w:rsidP="00D351C0">
      <w:pPr>
        <w:rPr>
          <w:rFonts w:ascii="Arial" w:hAnsi="Arial" w:cs="Arial"/>
        </w:rPr>
      </w:pPr>
      <w:r w:rsidRPr="00F037D3">
        <w:rPr>
          <w:rFonts w:ascii="Arial" w:hAnsi="Arial" w:cs="Arial"/>
        </w:rPr>
        <w:t>The Heumann Perspective</w:t>
      </w:r>
    </w:p>
    <w:p w14:paraId="5F61D3E3" w14:textId="77777777" w:rsidR="00706A43" w:rsidRPr="00706A43" w:rsidRDefault="00706A43" w:rsidP="00706A43">
      <w:pPr>
        <w:rPr>
          <w:rFonts w:ascii="Arial" w:hAnsi="Arial" w:cs="Arial"/>
          <w:color w:val="000000"/>
        </w:rPr>
      </w:pPr>
    </w:p>
    <w:p w14:paraId="470A8288" w14:textId="77777777" w:rsidR="00706A43" w:rsidRPr="003F0F0E" w:rsidRDefault="00706A43" w:rsidP="00706A43">
      <w:pPr>
        <w:rPr>
          <w:rFonts w:ascii="Arial" w:hAnsi="Arial" w:cs="Arial"/>
          <w:b/>
          <w:i/>
        </w:rPr>
      </w:pPr>
      <w:r w:rsidRPr="003F0F0E">
        <w:rPr>
          <w:rFonts w:ascii="Arial" w:hAnsi="Arial" w:cs="Arial"/>
          <w:b/>
          <w:i/>
        </w:rPr>
        <w:t xml:space="preserve">State &amp; Local Organizations </w:t>
      </w:r>
    </w:p>
    <w:p w14:paraId="793E77CA" w14:textId="77777777" w:rsidR="00706A43" w:rsidRPr="00F037D3" w:rsidRDefault="00706A43" w:rsidP="00706A43">
      <w:pPr>
        <w:rPr>
          <w:rFonts w:ascii="Arial" w:hAnsi="Arial" w:cs="Arial"/>
          <w:i/>
        </w:rPr>
      </w:pPr>
      <w:r w:rsidRPr="00F037D3">
        <w:rPr>
          <w:rFonts w:ascii="Arial" w:hAnsi="Arial" w:cs="Arial"/>
          <w:i/>
        </w:rPr>
        <w:t>Arizona</w:t>
      </w:r>
    </w:p>
    <w:p w14:paraId="6C867F29" w14:textId="77777777" w:rsidR="00706A43" w:rsidRPr="00F037D3" w:rsidRDefault="00706A43" w:rsidP="00706A43">
      <w:pPr>
        <w:rPr>
          <w:rFonts w:ascii="Arial" w:hAnsi="Arial" w:cs="Arial"/>
        </w:rPr>
      </w:pPr>
      <w:r w:rsidRPr="00F037D3">
        <w:rPr>
          <w:rFonts w:ascii="Arial" w:hAnsi="Arial" w:cs="Arial"/>
        </w:rPr>
        <w:t>Ability360</w:t>
      </w:r>
    </w:p>
    <w:p w14:paraId="7EC92E9E" w14:textId="77777777" w:rsidR="00706A43" w:rsidRPr="00F037D3" w:rsidRDefault="00706A43" w:rsidP="00706A43">
      <w:pPr>
        <w:rPr>
          <w:rFonts w:ascii="Arial" w:hAnsi="Arial" w:cs="Arial"/>
        </w:rPr>
      </w:pPr>
      <w:r w:rsidRPr="00F037D3">
        <w:rPr>
          <w:rFonts w:ascii="Arial" w:hAnsi="Arial" w:cs="Arial"/>
        </w:rPr>
        <w:t>Counseling DIRECTions</w:t>
      </w:r>
    </w:p>
    <w:p w14:paraId="070E64CE" w14:textId="77777777" w:rsidR="00706A43" w:rsidRPr="00F037D3" w:rsidRDefault="00706A43" w:rsidP="00706A43">
      <w:pPr>
        <w:rPr>
          <w:rFonts w:ascii="Arial" w:hAnsi="Arial" w:cs="Arial"/>
        </w:rPr>
      </w:pPr>
      <w:r w:rsidRPr="00F037D3">
        <w:rPr>
          <w:rFonts w:ascii="Arial" w:hAnsi="Arial" w:cs="Arial"/>
        </w:rPr>
        <w:t>DIRECT Center for Independence</w:t>
      </w:r>
    </w:p>
    <w:p w14:paraId="4E3DDA9F" w14:textId="77777777" w:rsidR="00706A43" w:rsidRPr="00F037D3" w:rsidRDefault="00706A43" w:rsidP="00706A43">
      <w:pPr>
        <w:rPr>
          <w:rFonts w:ascii="Arial" w:hAnsi="Arial" w:cs="Arial"/>
        </w:rPr>
      </w:pPr>
    </w:p>
    <w:p w14:paraId="35F8F0E9" w14:textId="77777777" w:rsidR="00706A43" w:rsidRPr="00F037D3" w:rsidRDefault="00706A43" w:rsidP="00706A43">
      <w:pPr>
        <w:rPr>
          <w:rFonts w:ascii="Arial" w:hAnsi="Arial" w:cs="Arial"/>
          <w:i/>
        </w:rPr>
      </w:pPr>
      <w:r w:rsidRPr="00F037D3">
        <w:rPr>
          <w:rFonts w:ascii="Arial" w:hAnsi="Arial" w:cs="Arial"/>
          <w:i/>
        </w:rPr>
        <w:t>California</w:t>
      </w:r>
    </w:p>
    <w:p w14:paraId="2A3EEABF" w14:textId="77777777" w:rsidR="00706A43" w:rsidRPr="00F037D3" w:rsidRDefault="00706A43" w:rsidP="00706A43">
      <w:pPr>
        <w:rPr>
          <w:rFonts w:ascii="Arial" w:hAnsi="Arial" w:cs="Arial"/>
        </w:rPr>
      </w:pPr>
      <w:r w:rsidRPr="00F037D3">
        <w:rPr>
          <w:rFonts w:ascii="Arial" w:hAnsi="Arial" w:cs="Arial"/>
        </w:rPr>
        <w:t>Independent Living Center of Southern California</w:t>
      </w:r>
    </w:p>
    <w:p w14:paraId="4AC05B88" w14:textId="77777777" w:rsidR="00706A43" w:rsidRPr="00F037D3" w:rsidRDefault="00706A43" w:rsidP="00706A43">
      <w:pPr>
        <w:rPr>
          <w:rFonts w:ascii="Arial" w:hAnsi="Arial" w:cs="Arial"/>
        </w:rPr>
      </w:pPr>
      <w:r w:rsidRPr="00F037D3">
        <w:rPr>
          <w:rFonts w:ascii="Arial" w:hAnsi="Arial" w:cs="Arial"/>
        </w:rPr>
        <w:t>Service Center for Independent Life (SCIL)</w:t>
      </w:r>
    </w:p>
    <w:p w14:paraId="50844872" w14:textId="77777777" w:rsidR="00706A43" w:rsidRPr="00F037D3" w:rsidRDefault="00706A43" w:rsidP="00706A43">
      <w:pPr>
        <w:rPr>
          <w:rFonts w:ascii="Arial" w:hAnsi="Arial" w:cs="Arial"/>
        </w:rPr>
      </w:pPr>
    </w:p>
    <w:p w14:paraId="7DDC27A9" w14:textId="77777777" w:rsidR="00706A43" w:rsidRPr="00F037D3" w:rsidRDefault="00706A43" w:rsidP="00706A43">
      <w:pPr>
        <w:rPr>
          <w:rFonts w:ascii="Arial" w:hAnsi="Arial" w:cs="Arial"/>
          <w:i/>
        </w:rPr>
      </w:pPr>
      <w:r w:rsidRPr="00F037D3">
        <w:rPr>
          <w:rFonts w:ascii="Arial" w:hAnsi="Arial" w:cs="Arial"/>
          <w:i/>
        </w:rPr>
        <w:t>Colorado</w:t>
      </w:r>
    </w:p>
    <w:p w14:paraId="01EA6DF8" w14:textId="77777777" w:rsidR="00706A43" w:rsidRPr="00F037D3" w:rsidRDefault="00706A43" w:rsidP="00706A43">
      <w:pPr>
        <w:rPr>
          <w:rFonts w:ascii="Arial" w:hAnsi="Arial" w:cs="Arial"/>
        </w:rPr>
      </w:pPr>
      <w:r w:rsidRPr="00F037D3">
        <w:rPr>
          <w:rFonts w:ascii="Arial" w:hAnsi="Arial" w:cs="Arial"/>
        </w:rPr>
        <w:t>Atlantis ADAPT</w:t>
      </w:r>
    </w:p>
    <w:p w14:paraId="1989620B" w14:textId="77777777" w:rsidR="00706A43" w:rsidRPr="00F037D3" w:rsidRDefault="00706A43" w:rsidP="00706A43">
      <w:pPr>
        <w:rPr>
          <w:rFonts w:ascii="Arial" w:hAnsi="Arial" w:cs="Arial"/>
        </w:rPr>
      </w:pPr>
      <w:r w:rsidRPr="00F037D3">
        <w:rPr>
          <w:rFonts w:ascii="Arial" w:hAnsi="Arial" w:cs="Arial"/>
        </w:rPr>
        <w:t>Atlantis Community, Inc.</w:t>
      </w:r>
    </w:p>
    <w:p w14:paraId="4682F426" w14:textId="77777777" w:rsidR="00706A43" w:rsidRPr="00F037D3" w:rsidRDefault="00706A43" w:rsidP="00706A43">
      <w:pPr>
        <w:rPr>
          <w:rFonts w:ascii="Arial" w:hAnsi="Arial" w:cs="Arial"/>
        </w:rPr>
      </w:pPr>
      <w:r w:rsidRPr="00F037D3">
        <w:rPr>
          <w:rFonts w:ascii="Arial" w:hAnsi="Arial" w:cs="Arial"/>
        </w:rPr>
        <w:t>Colorado Cross-Disability Coalition</w:t>
      </w:r>
    </w:p>
    <w:p w14:paraId="28DD3078" w14:textId="77777777" w:rsidR="00706A43" w:rsidRPr="00F037D3" w:rsidRDefault="00706A43" w:rsidP="00706A43">
      <w:pPr>
        <w:rPr>
          <w:rFonts w:ascii="Arial" w:hAnsi="Arial" w:cs="Arial"/>
        </w:rPr>
      </w:pPr>
      <w:r w:rsidRPr="00F037D3">
        <w:rPr>
          <w:rFonts w:ascii="Arial" w:hAnsi="Arial" w:cs="Arial"/>
        </w:rPr>
        <w:t>Southwest Center for Independence</w:t>
      </w:r>
    </w:p>
    <w:p w14:paraId="48993D31" w14:textId="77777777" w:rsidR="00706A43" w:rsidRPr="00F037D3" w:rsidRDefault="00706A43" w:rsidP="00706A43">
      <w:pPr>
        <w:rPr>
          <w:rFonts w:ascii="Arial" w:hAnsi="Arial" w:cs="Arial"/>
          <w:i/>
        </w:rPr>
      </w:pPr>
    </w:p>
    <w:p w14:paraId="39CD5339" w14:textId="77777777" w:rsidR="00706A43" w:rsidRPr="00F037D3" w:rsidRDefault="00706A43" w:rsidP="00706A43">
      <w:pPr>
        <w:rPr>
          <w:rFonts w:ascii="Arial" w:hAnsi="Arial" w:cs="Arial"/>
          <w:i/>
        </w:rPr>
      </w:pPr>
      <w:r w:rsidRPr="00F037D3">
        <w:rPr>
          <w:rFonts w:ascii="Arial" w:hAnsi="Arial" w:cs="Arial"/>
          <w:i/>
        </w:rPr>
        <w:t>Florida</w:t>
      </w:r>
    </w:p>
    <w:p w14:paraId="14FE840E" w14:textId="77777777" w:rsidR="00706A43" w:rsidRPr="00F037D3" w:rsidRDefault="00706A43" w:rsidP="00706A43">
      <w:pPr>
        <w:rPr>
          <w:rFonts w:ascii="Arial" w:hAnsi="Arial" w:cs="Arial"/>
        </w:rPr>
      </w:pPr>
      <w:r w:rsidRPr="00F037D3">
        <w:rPr>
          <w:rFonts w:ascii="Arial" w:hAnsi="Arial" w:cs="Arial"/>
        </w:rPr>
        <w:t>Democratic Disability Caucus of Florida</w:t>
      </w:r>
    </w:p>
    <w:p w14:paraId="031CD878" w14:textId="77777777" w:rsidR="00706A43" w:rsidRPr="00F037D3" w:rsidRDefault="00706A43" w:rsidP="00706A43">
      <w:pPr>
        <w:rPr>
          <w:rFonts w:ascii="Arial" w:hAnsi="Arial" w:cs="Arial"/>
          <w:i/>
        </w:rPr>
      </w:pPr>
    </w:p>
    <w:p w14:paraId="04A91CBC" w14:textId="77777777" w:rsidR="00706A43" w:rsidRPr="00F037D3" w:rsidRDefault="00706A43" w:rsidP="00706A43">
      <w:pPr>
        <w:rPr>
          <w:rFonts w:ascii="Arial" w:hAnsi="Arial" w:cs="Arial"/>
          <w:i/>
        </w:rPr>
      </w:pPr>
      <w:r w:rsidRPr="00F037D3">
        <w:rPr>
          <w:rFonts w:ascii="Arial" w:hAnsi="Arial" w:cs="Arial"/>
          <w:i/>
        </w:rPr>
        <w:t>Georgia</w:t>
      </w:r>
    </w:p>
    <w:p w14:paraId="66C0010F" w14:textId="77777777" w:rsidR="00706A43" w:rsidRPr="00F037D3" w:rsidRDefault="00706A43" w:rsidP="00706A43">
      <w:pPr>
        <w:rPr>
          <w:rFonts w:ascii="Arial" w:hAnsi="Arial" w:cs="Arial"/>
        </w:rPr>
      </w:pPr>
      <w:r w:rsidRPr="00F037D3">
        <w:rPr>
          <w:rFonts w:ascii="Arial" w:hAnsi="Arial" w:cs="Arial"/>
        </w:rPr>
        <w:t>GA ADAPT</w:t>
      </w:r>
    </w:p>
    <w:p w14:paraId="6EF58616" w14:textId="77777777" w:rsidR="00706A43" w:rsidRPr="00F037D3" w:rsidRDefault="00706A43" w:rsidP="00706A43">
      <w:pPr>
        <w:rPr>
          <w:rFonts w:ascii="Arial" w:hAnsi="Arial" w:cs="Arial"/>
        </w:rPr>
      </w:pPr>
    </w:p>
    <w:p w14:paraId="5C25EF41" w14:textId="77777777" w:rsidR="00706A43" w:rsidRPr="00F037D3" w:rsidRDefault="00706A43" w:rsidP="00706A43">
      <w:pPr>
        <w:rPr>
          <w:rFonts w:ascii="Arial" w:hAnsi="Arial" w:cs="Arial"/>
          <w:i/>
        </w:rPr>
      </w:pPr>
      <w:r w:rsidRPr="00F037D3">
        <w:rPr>
          <w:rFonts w:ascii="Arial" w:hAnsi="Arial" w:cs="Arial"/>
          <w:i/>
        </w:rPr>
        <w:t>Hawaii</w:t>
      </w:r>
    </w:p>
    <w:p w14:paraId="365874CB" w14:textId="77777777" w:rsidR="00706A43" w:rsidRPr="00F037D3" w:rsidRDefault="00706A43" w:rsidP="00706A43">
      <w:pPr>
        <w:rPr>
          <w:rFonts w:ascii="Arial" w:hAnsi="Arial" w:cs="Arial"/>
        </w:rPr>
      </w:pPr>
      <w:r w:rsidRPr="00F037D3">
        <w:rPr>
          <w:rFonts w:ascii="Arial" w:hAnsi="Arial" w:cs="Arial"/>
        </w:rPr>
        <w:t>Aloha Independent Living Hawaii</w:t>
      </w:r>
    </w:p>
    <w:p w14:paraId="7A8563F6" w14:textId="77777777" w:rsidR="00706A43" w:rsidRPr="00F037D3" w:rsidRDefault="00706A43" w:rsidP="00706A43">
      <w:pPr>
        <w:rPr>
          <w:rFonts w:ascii="Arial" w:hAnsi="Arial" w:cs="Arial"/>
          <w:i/>
        </w:rPr>
      </w:pPr>
    </w:p>
    <w:p w14:paraId="6A58DADC" w14:textId="77777777" w:rsidR="00706A43" w:rsidRPr="00F037D3" w:rsidRDefault="00706A43" w:rsidP="00706A43">
      <w:pPr>
        <w:rPr>
          <w:rFonts w:ascii="Arial" w:hAnsi="Arial" w:cs="Arial"/>
          <w:i/>
        </w:rPr>
      </w:pPr>
      <w:r w:rsidRPr="00F037D3">
        <w:rPr>
          <w:rFonts w:ascii="Arial" w:hAnsi="Arial" w:cs="Arial"/>
          <w:i/>
        </w:rPr>
        <w:t>Idaho</w:t>
      </w:r>
    </w:p>
    <w:p w14:paraId="6DD12BEC" w14:textId="77777777" w:rsidR="00706A43" w:rsidRPr="00F037D3" w:rsidRDefault="00706A43" w:rsidP="00706A43">
      <w:pPr>
        <w:rPr>
          <w:rFonts w:ascii="Arial" w:hAnsi="Arial" w:cs="Arial"/>
        </w:rPr>
      </w:pPr>
      <w:r w:rsidRPr="00F037D3">
        <w:rPr>
          <w:rFonts w:ascii="Arial" w:hAnsi="Arial" w:cs="Arial"/>
        </w:rPr>
        <w:t xml:space="preserve">LINC </w:t>
      </w:r>
    </w:p>
    <w:p w14:paraId="0C8EDC32" w14:textId="77777777" w:rsidR="00706A43" w:rsidRPr="00F037D3" w:rsidRDefault="00706A43" w:rsidP="00706A43">
      <w:pPr>
        <w:rPr>
          <w:rFonts w:ascii="Arial" w:hAnsi="Arial" w:cs="Arial"/>
        </w:rPr>
      </w:pPr>
      <w:r w:rsidRPr="00F037D3">
        <w:rPr>
          <w:rFonts w:ascii="Arial" w:hAnsi="Arial" w:cs="Arial"/>
        </w:rPr>
        <w:t>Living Independently for Everyone</w:t>
      </w:r>
    </w:p>
    <w:p w14:paraId="5FA22D86" w14:textId="77777777" w:rsidR="00706A43" w:rsidRDefault="00706A43" w:rsidP="00706A43">
      <w:pPr>
        <w:rPr>
          <w:rFonts w:ascii="Arial" w:hAnsi="Arial" w:cs="Arial"/>
        </w:rPr>
      </w:pPr>
    </w:p>
    <w:p w14:paraId="6BB952D5" w14:textId="77777777" w:rsidR="00706A43" w:rsidRPr="00F037D3" w:rsidRDefault="00706A43" w:rsidP="00706A43">
      <w:pPr>
        <w:rPr>
          <w:rFonts w:ascii="Arial" w:hAnsi="Arial" w:cs="Arial"/>
        </w:rPr>
      </w:pPr>
    </w:p>
    <w:p w14:paraId="3FAB9776" w14:textId="4BCD42D3" w:rsidR="00706A43" w:rsidRPr="00F037D3" w:rsidRDefault="00706A43" w:rsidP="00706A43">
      <w:pPr>
        <w:rPr>
          <w:rFonts w:ascii="Arial" w:hAnsi="Arial" w:cs="Arial"/>
          <w:i/>
        </w:rPr>
      </w:pPr>
      <w:r w:rsidRPr="00F037D3">
        <w:rPr>
          <w:rFonts w:ascii="Arial" w:hAnsi="Arial" w:cs="Arial"/>
          <w:i/>
        </w:rPr>
        <w:t>Illinois</w:t>
      </w:r>
    </w:p>
    <w:p w14:paraId="34DE5ADE" w14:textId="77777777" w:rsidR="00706A43" w:rsidRPr="00F037D3" w:rsidRDefault="00706A43" w:rsidP="00706A43">
      <w:pPr>
        <w:rPr>
          <w:rFonts w:ascii="Arial" w:hAnsi="Arial" w:cs="Arial"/>
        </w:rPr>
      </w:pPr>
      <w:r w:rsidRPr="00F037D3">
        <w:rPr>
          <w:rFonts w:ascii="Arial" w:hAnsi="Arial" w:cs="Arial"/>
        </w:rPr>
        <w:t>Access Living</w:t>
      </w:r>
    </w:p>
    <w:p w14:paraId="5150B7AF" w14:textId="77777777" w:rsidR="00706A43" w:rsidRPr="00F037D3" w:rsidRDefault="00706A43" w:rsidP="00706A43">
      <w:pPr>
        <w:rPr>
          <w:rFonts w:ascii="Arial" w:hAnsi="Arial" w:cs="Arial"/>
        </w:rPr>
      </w:pPr>
      <w:r w:rsidRPr="00F037D3">
        <w:rPr>
          <w:rFonts w:ascii="Arial" w:hAnsi="Arial" w:cs="Arial"/>
        </w:rPr>
        <w:t>Chicago ADAPT</w:t>
      </w:r>
    </w:p>
    <w:p w14:paraId="20A3A7E4" w14:textId="77777777" w:rsidR="00706A43" w:rsidRPr="00F037D3" w:rsidRDefault="00706A43" w:rsidP="00706A43">
      <w:pPr>
        <w:rPr>
          <w:rFonts w:ascii="Arial" w:hAnsi="Arial" w:cs="Arial"/>
        </w:rPr>
      </w:pPr>
      <w:r w:rsidRPr="00F037D3">
        <w:rPr>
          <w:rFonts w:ascii="Arial" w:hAnsi="Arial" w:cs="Arial"/>
        </w:rPr>
        <w:t>Disability Resource Center</w:t>
      </w:r>
    </w:p>
    <w:p w14:paraId="416C9E36" w14:textId="77777777" w:rsidR="00706A43" w:rsidRPr="00F037D3" w:rsidRDefault="00706A43" w:rsidP="00706A43">
      <w:pPr>
        <w:rPr>
          <w:rFonts w:ascii="Arial" w:hAnsi="Arial" w:cs="Arial"/>
        </w:rPr>
      </w:pPr>
      <w:r w:rsidRPr="00F037D3">
        <w:rPr>
          <w:rFonts w:ascii="Arial" w:hAnsi="Arial" w:cs="Arial"/>
        </w:rPr>
        <w:t>IMPACT CIL</w:t>
      </w:r>
    </w:p>
    <w:p w14:paraId="7EFE42EC" w14:textId="77777777" w:rsidR="00706A43" w:rsidRPr="00F037D3" w:rsidRDefault="00706A43" w:rsidP="00706A43">
      <w:pPr>
        <w:rPr>
          <w:rFonts w:ascii="Arial" w:hAnsi="Arial" w:cs="Arial"/>
        </w:rPr>
      </w:pPr>
      <w:r w:rsidRPr="00F037D3">
        <w:rPr>
          <w:rFonts w:ascii="Arial" w:hAnsi="Arial" w:cs="Arial"/>
        </w:rPr>
        <w:t>Progress Center for Independent Living</w:t>
      </w:r>
    </w:p>
    <w:p w14:paraId="7B5A589C" w14:textId="77777777" w:rsidR="00706A43" w:rsidRPr="00F037D3" w:rsidRDefault="00706A43" w:rsidP="00706A43">
      <w:pPr>
        <w:rPr>
          <w:rFonts w:ascii="Arial" w:hAnsi="Arial" w:cs="Arial"/>
        </w:rPr>
      </w:pPr>
      <w:r w:rsidRPr="00F037D3">
        <w:rPr>
          <w:rFonts w:ascii="Arial" w:hAnsi="Arial" w:cs="Arial"/>
        </w:rPr>
        <w:t>Statewide Independent Living Council of Illinois</w:t>
      </w:r>
    </w:p>
    <w:p w14:paraId="540642B2" w14:textId="77777777" w:rsidR="00706A43" w:rsidRDefault="00706A43" w:rsidP="00706A43">
      <w:pPr>
        <w:rPr>
          <w:rFonts w:ascii="Arial" w:hAnsi="Arial" w:cs="Arial"/>
          <w:i/>
        </w:rPr>
      </w:pPr>
    </w:p>
    <w:p w14:paraId="0F398168" w14:textId="77777777" w:rsidR="00706A43" w:rsidRPr="00F037D3" w:rsidRDefault="00706A43" w:rsidP="00706A43">
      <w:pPr>
        <w:rPr>
          <w:rFonts w:ascii="Arial" w:hAnsi="Arial" w:cs="Arial"/>
          <w:i/>
        </w:rPr>
      </w:pPr>
      <w:r w:rsidRPr="00F037D3">
        <w:rPr>
          <w:rFonts w:ascii="Arial" w:hAnsi="Arial" w:cs="Arial"/>
          <w:i/>
        </w:rPr>
        <w:t>Iowa</w:t>
      </w:r>
    </w:p>
    <w:p w14:paraId="2C2624FC" w14:textId="77777777" w:rsidR="00706A43" w:rsidRPr="00F037D3" w:rsidRDefault="00706A43" w:rsidP="00706A43">
      <w:pPr>
        <w:rPr>
          <w:rFonts w:ascii="Arial" w:hAnsi="Arial" w:cs="Arial"/>
        </w:rPr>
      </w:pPr>
      <w:r w:rsidRPr="00F037D3">
        <w:rPr>
          <w:rFonts w:ascii="Arial" w:hAnsi="Arial" w:cs="Arial"/>
        </w:rPr>
        <w:t>Disabilities Resource Center of Siouxland</w:t>
      </w:r>
    </w:p>
    <w:p w14:paraId="4E65A5D9" w14:textId="77777777" w:rsidR="00706A43" w:rsidRPr="00F037D3" w:rsidRDefault="00706A43" w:rsidP="00706A43">
      <w:pPr>
        <w:rPr>
          <w:rFonts w:ascii="Arial" w:hAnsi="Arial" w:cs="Arial"/>
          <w:i/>
        </w:rPr>
      </w:pPr>
    </w:p>
    <w:p w14:paraId="2C98488E" w14:textId="77777777" w:rsidR="00706A43" w:rsidRPr="00F037D3" w:rsidRDefault="00706A43" w:rsidP="00706A43">
      <w:pPr>
        <w:rPr>
          <w:rFonts w:ascii="Arial" w:hAnsi="Arial" w:cs="Arial"/>
          <w:i/>
        </w:rPr>
      </w:pPr>
      <w:r w:rsidRPr="00F037D3">
        <w:rPr>
          <w:rFonts w:ascii="Arial" w:hAnsi="Arial" w:cs="Arial"/>
          <w:i/>
        </w:rPr>
        <w:t>Kansas</w:t>
      </w:r>
    </w:p>
    <w:p w14:paraId="69243771" w14:textId="77777777" w:rsidR="00706A43" w:rsidRPr="00F037D3" w:rsidRDefault="00706A43" w:rsidP="00706A43">
      <w:pPr>
        <w:rPr>
          <w:rFonts w:ascii="Arial" w:hAnsi="Arial" w:cs="Arial"/>
        </w:rPr>
      </w:pPr>
      <w:r w:rsidRPr="00F037D3">
        <w:rPr>
          <w:rFonts w:ascii="Arial" w:hAnsi="Arial" w:cs="Arial"/>
        </w:rPr>
        <w:t>3 Rivers Inc.</w:t>
      </w:r>
    </w:p>
    <w:p w14:paraId="2D6FCB4F" w14:textId="77777777" w:rsidR="00706A43" w:rsidRPr="00F037D3" w:rsidRDefault="00706A43" w:rsidP="00706A43">
      <w:pPr>
        <w:rPr>
          <w:rFonts w:ascii="Arial" w:hAnsi="Arial" w:cs="Arial"/>
        </w:rPr>
      </w:pPr>
      <w:r w:rsidRPr="00F037D3">
        <w:rPr>
          <w:rFonts w:ascii="Arial" w:hAnsi="Arial" w:cs="Arial"/>
        </w:rPr>
        <w:t>Prairie Independent Living Resource Center, Inc. (PILR)</w:t>
      </w:r>
    </w:p>
    <w:p w14:paraId="34D766B3" w14:textId="77777777" w:rsidR="00706A43" w:rsidRPr="00F037D3" w:rsidRDefault="00706A43" w:rsidP="00706A43">
      <w:pPr>
        <w:rPr>
          <w:rFonts w:ascii="Arial" w:hAnsi="Arial" w:cs="Arial"/>
        </w:rPr>
      </w:pPr>
      <w:r w:rsidRPr="00F037D3">
        <w:rPr>
          <w:rFonts w:ascii="Arial" w:hAnsi="Arial" w:cs="Arial"/>
        </w:rPr>
        <w:t>Topeka Independent Living Resource Center, Inc.</w:t>
      </w:r>
    </w:p>
    <w:p w14:paraId="468BA211" w14:textId="77777777" w:rsidR="00706A43" w:rsidRPr="00F037D3" w:rsidRDefault="00706A43" w:rsidP="00706A43">
      <w:pPr>
        <w:rPr>
          <w:rFonts w:ascii="Arial" w:hAnsi="Arial" w:cs="Arial"/>
          <w:i/>
        </w:rPr>
      </w:pPr>
    </w:p>
    <w:p w14:paraId="75D53320" w14:textId="77777777" w:rsidR="00706A43" w:rsidRPr="00F037D3" w:rsidRDefault="00706A43" w:rsidP="00706A43">
      <w:pPr>
        <w:rPr>
          <w:rFonts w:ascii="Arial" w:hAnsi="Arial" w:cs="Arial"/>
          <w:i/>
        </w:rPr>
      </w:pPr>
      <w:r w:rsidRPr="00F037D3">
        <w:rPr>
          <w:rFonts w:ascii="Arial" w:hAnsi="Arial" w:cs="Arial"/>
          <w:i/>
        </w:rPr>
        <w:t>Kentucky</w:t>
      </w:r>
    </w:p>
    <w:p w14:paraId="0F17415F" w14:textId="77777777" w:rsidR="00706A43" w:rsidRPr="00F037D3" w:rsidRDefault="00706A43" w:rsidP="00706A43">
      <w:pPr>
        <w:rPr>
          <w:rFonts w:ascii="Arial" w:hAnsi="Arial" w:cs="Arial"/>
        </w:rPr>
      </w:pPr>
      <w:r w:rsidRPr="00F037D3">
        <w:rPr>
          <w:rFonts w:ascii="Arial" w:hAnsi="Arial" w:cs="Arial"/>
        </w:rPr>
        <w:t>Center for Accessible Living</w:t>
      </w:r>
    </w:p>
    <w:p w14:paraId="0A339EF9" w14:textId="77777777" w:rsidR="00706A43" w:rsidRPr="00F037D3" w:rsidRDefault="00706A43" w:rsidP="00706A43">
      <w:pPr>
        <w:rPr>
          <w:rFonts w:ascii="Arial" w:hAnsi="Arial" w:cs="Arial"/>
        </w:rPr>
      </w:pPr>
    </w:p>
    <w:p w14:paraId="7966788A" w14:textId="77777777" w:rsidR="00706A43" w:rsidRPr="00F037D3" w:rsidRDefault="00706A43" w:rsidP="00706A43">
      <w:pPr>
        <w:rPr>
          <w:rFonts w:ascii="Arial" w:hAnsi="Arial" w:cs="Arial"/>
          <w:i/>
        </w:rPr>
      </w:pPr>
      <w:r w:rsidRPr="00F037D3">
        <w:rPr>
          <w:rFonts w:ascii="Arial" w:hAnsi="Arial" w:cs="Arial"/>
          <w:i/>
        </w:rPr>
        <w:t>Maine</w:t>
      </w:r>
    </w:p>
    <w:p w14:paraId="6B2B4E46" w14:textId="77777777" w:rsidR="00706A43" w:rsidRPr="00F037D3" w:rsidRDefault="00706A43" w:rsidP="00706A43">
      <w:pPr>
        <w:rPr>
          <w:rFonts w:ascii="Arial" w:hAnsi="Arial" w:cs="Arial"/>
        </w:rPr>
      </w:pPr>
      <w:r w:rsidRPr="00F037D3">
        <w:rPr>
          <w:rFonts w:ascii="Arial" w:hAnsi="Arial" w:cs="Arial"/>
        </w:rPr>
        <w:t>Needlepoint Sanctuary</w:t>
      </w:r>
    </w:p>
    <w:p w14:paraId="7766D547" w14:textId="77777777" w:rsidR="00706A43" w:rsidRPr="00F037D3" w:rsidRDefault="00706A43" w:rsidP="00706A43">
      <w:pPr>
        <w:rPr>
          <w:rFonts w:ascii="Arial" w:hAnsi="Arial" w:cs="Arial"/>
        </w:rPr>
      </w:pPr>
    </w:p>
    <w:p w14:paraId="3F10FCC1" w14:textId="77777777" w:rsidR="00706A43" w:rsidRPr="00F037D3" w:rsidRDefault="00706A43" w:rsidP="00706A43">
      <w:pPr>
        <w:rPr>
          <w:rFonts w:ascii="Arial" w:hAnsi="Arial" w:cs="Arial"/>
          <w:i/>
        </w:rPr>
      </w:pPr>
      <w:r w:rsidRPr="00F037D3">
        <w:rPr>
          <w:rFonts w:ascii="Arial" w:hAnsi="Arial" w:cs="Arial"/>
          <w:i/>
        </w:rPr>
        <w:t>Maryland</w:t>
      </w:r>
    </w:p>
    <w:p w14:paraId="09BD4A9D" w14:textId="77777777" w:rsidR="00706A43" w:rsidRPr="00F037D3" w:rsidRDefault="00706A43" w:rsidP="00706A43">
      <w:pPr>
        <w:rPr>
          <w:rFonts w:ascii="Arial" w:hAnsi="Arial" w:cs="Arial"/>
        </w:rPr>
      </w:pPr>
      <w:r w:rsidRPr="00F037D3">
        <w:rPr>
          <w:rFonts w:ascii="Arial" w:hAnsi="Arial" w:cs="Arial"/>
        </w:rPr>
        <w:t>The IMAGE Center of Maryland</w:t>
      </w:r>
    </w:p>
    <w:p w14:paraId="3DE41BFD" w14:textId="77777777" w:rsidR="00706A43" w:rsidRPr="00F037D3" w:rsidRDefault="00706A43" w:rsidP="00706A43">
      <w:pPr>
        <w:rPr>
          <w:rFonts w:ascii="Arial" w:hAnsi="Arial" w:cs="Arial"/>
          <w:i/>
        </w:rPr>
      </w:pPr>
    </w:p>
    <w:p w14:paraId="7312802A" w14:textId="77777777" w:rsidR="00706A43" w:rsidRPr="00F037D3" w:rsidRDefault="00706A43" w:rsidP="00706A43">
      <w:pPr>
        <w:rPr>
          <w:rFonts w:ascii="Arial" w:hAnsi="Arial" w:cs="Arial"/>
          <w:i/>
        </w:rPr>
      </w:pPr>
      <w:r w:rsidRPr="00F037D3">
        <w:rPr>
          <w:rFonts w:ascii="Arial" w:hAnsi="Arial" w:cs="Arial"/>
          <w:i/>
        </w:rPr>
        <w:t>Massachusetts</w:t>
      </w:r>
    </w:p>
    <w:p w14:paraId="27CBC17F" w14:textId="77777777" w:rsidR="00706A43" w:rsidRPr="00F037D3" w:rsidRDefault="00706A43" w:rsidP="00706A43">
      <w:pPr>
        <w:rPr>
          <w:rFonts w:ascii="Arial" w:hAnsi="Arial" w:cs="Arial"/>
        </w:rPr>
      </w:pPr>
      <w:r w:rsidRPr="00F037D3">
        <w:rPr>
          <w:rFonts w:ascii="Arial" w:hAnsi="Arial" w:cs="Arial"/>
        </w:rPr>
        <w:t>Boston Center for Independent Living</w:t>
      </w:r>
    </w:p>
    <w:p w14:paraId="4ECAF0E3" w14:textId="77777777" w:rsidR="00706A43" w:rsidRPr="00F037D3" w:rsidRDefault="00706A43" w:rsidP="00706A43">
      <w:pPr>
        <w:rPr>
          <w:rFonts w:ascii="Arial" w:hAnsi="Arial" w:cs="Arial"/>
        </w:rPr>
      </w:pPr>
      <w:r w:rsidRPr="00F037D3">
        <w:rPr>
          <w:rFonts w:ascii="Arial" w:hAnsi="Arial" w:cs="Arial"/>
        </w:rPr>
        <w:t>Disability Policy Consortium of Massachusetts</w:t>
      </w:r>
    </w:p>
    <w:p w14:paraId="5A8826CE" w14:textId="77777777" w:rsidR="00706A43" w:rsidRPr="00F037D3" w:rsidRDefault="00706A43" w:rsidP="00706A43">
      <w:pPr>
        <w:rPr>
          <w:rFonts w:ascii="Arial" w:hAnsi="Arial" w:cs="Arial"/>
        </w:rPr>
      </w:pPr>
      <w:r w:rsidRPr="00F037D3">
        <w:rPr>
          <w:rFonts w:ascii="Arial" w:hAnsi="Arial" w:cs="Arial"/>
        </w:rPr>
        <w:t>Independence Associates, Inc.</w:t>
      </w:r>
    </w:p>
    <w:p w14:paraId="34458DB8" w14:textId="77777777" w:rsidR="00706A43" w:rsidRPr="00F037D3" w:rsidRDefault="00706A43" w:rsidP="00706A43">
      <w:pPr>
        <w:rPr>
          <w:rFonts w:ascii="Arial" w:hAnsi="Arial" w:cs="Arial"/>
        </w:rPr>
      </w:pPr>
    </w:p>
    <w:p w14:paraId="6B5AA05C" w14:textId="77777777" w:rsidR="00706A43" w:rsidRPr="00F037D3" w:rsidRDefault="00706A43" w:rsidP="00706A43">
      <w:pPr>
        <w:rPr>
          <w:rFonts w:ascii="Arial" w:hAnsi="Arial" w:cs="Arial"/>
          <w:i/>
        </w:rPr>
      </w:pPr>
      <w:r w:rsidRPr="00F037D3">
        <w:rPr>
          <w:rFonts w:ascii="Arial" w:hAnsi="Arial" w:cs="Arial"/>
          <w:i/>
        </w:rPr>
        <w:t>Minnesota</w:t>
      </w:r>
    </w:p>
    <w:p w14:paraId="0EC6E56E" w14:textId="77777777" w:rsidR="00706A43" w:rsidRPr="00F037D3" w:rsidRDefault="00706A43" w:rsidP="00706A43">
      <w:pPr>
        <w:rPr>
          <w:rFonts w:ascii="Arial" w:hAnsi="Arial" w:cs="Arial"/>
        </w:rPr>
      </w:pPr>
      <w:r w:rsidRPr="00F037D3">
        <w:rPr>
          <w:rFonts w:ascii="Arial" w:hAnsi="Arial" w:cs="Arial"/>
        </w:rPr>
        <w:t>Minnesota Statewide Independent Living Council</w:t>
      </w:r>
    </w:p>
    <w:p w14:paraId="7F5C781C" w14:textId="77777777" w:rsidR="00706A43" w:rsidRPr="00F037D3" w:rsidRDefault="00706A43" w:rsidP="00706A43">
      <w:pPr>
        <w:rPr>
          <w:rFonts w:ascii="Arial" w:hAnsi="Arial" w:cs="Arial"/>
          <w:i/>
        </w:rPr>
      </w:pPr>
    </w:p>
    <w:p w14:paraId="1978D17F" w14:textId="77777777" w:rsidR="00706A43" w:rsidRPr="00F037D3" w:rsidRDefault="00706A43" w:rsidP="00706A43">
      <w:pPr>
        <w:rPr>
          <w:rFonts w:ascii="Arial" w:hAnsi="Arial" w:cs="Arial"/>
          <w:i/>
        </w:rPr>
      </w:pPr>
      <w:r w:rsidRPr="00F037D3">
        <w:rPr>
          <w:rFonts w:ascii="Arial" w:hAnsi="Arial" w:cs="Arial"/>
          <w:i/>
        </w:rPr>
        <w:t>Mississippi</w:t>
      </w:r>
    </w:p>
    <w:p w14:paraId="4B09AA69" w14:textId="77777777" w:rsidR="00706A43" w:rsidRPr="00F037D3" w:rsidRDefault="00706A43" w:rsidP="00706A43">
      <w:pPr>
        <w:rPr>
          <w:rFonts w:ascii="Arial" w:hAnsi="Arial" w:cs="Arial"/>
        </w:rPr>
      </w:pPr>
      <w:r w:rsidRPr="00F037D3">
        <w:rPr>
          <w:rFonts w:ascii="Arial" w:hAnsi="Arial" w:cs="Arial"/>
        </w:rPr>
        <w:t>Living Independence for Everyone</w:t>
      </w:r>
    </w:p>
    <w:p w14:paraId="4CDB5D9A" w14:textId="77777777" w:rsidR="00706A43" w:rsidRPr="00F037D3" w:rsidRDefault="00706A43" w:rsidP="00706A43">
      <w:pPr>
        <w:rPr>
          <w:rFonts w:ascii="Arial" w:hAnsi="Arial" w:cs="Arial"/>
          <w:i/>
        </w:rPr>
      </w:pPr>
    </w:p>
    <w:p w14:paraId="16A2C686" w14:textId="77777777" w:rsidR="00706A43" w:rsidRPr="00F037D3" w:rsidRDefault="00706A43" w:rsidP="00706A43">
      <w:pPr>
        <w:rPr>
          <w:rFonts w:ascii="Arial" w:hAnsi="Arial" w:cs="Arial"/>
          <w:i/>
        </w:rPr>
      </w:pPr>
      <w:r w:rsidRPr="00F037D3">
        <w:rPr>
          <w:rFonts w:ascii="Arial" w:hAnsi="Arial" w:cs="Arial"/>
          <w:i/>
        </w:rPr>
        <w:t>New Jersey</w:t>
      </w:r>
    </w:p>
    <w:p w14:paraId="7DA6B388" w14:textId="77777777" w:rsidR="00706A43" w:rsidRPr="00F037D3" w:rsidRDefault="00706A43" w:rsidP="00706A43">
      <w:pPr>
        <w:rPr>
          <w:rFonts w:ascii="Arial" w:hAnsi="Arial" w:cs="Arial"/>
        </w:rPr>
      </w:pPr>
      <w:r w:rsidRPr="00F037D3">
        <w:rPr>
          <w:rFonts w:ascii="Arial" w:hAnsi="Arial" w:cs="Arial"/>
        </w:rPr>
        <w:t>Alliance Center for Independence</w:t>
      </w:r>
    </w:p>
    <w:p w14:paraId="7F4252BA" w14:textId="77777777" w:rsidR="00706A43" w:rsidRPr="00F037D3" w:rsidRDefault="00706A43" w:rsidP="00706A43">
      <w:pPr>
        <w:rPr>
          <w:rFonts w:ascii="Arial" w:hAnsi="Arial" w:cs="Arial"/>
        </w:rPr>
      </w:pPr>
    </w:p>
    <w:p w14:paraId="2E6CA02F" w14:textId="77777777" w:rsidR="00706A43" w:rsidRPr="00F037D3" w:rsidRDefault="00706A43" w:rsidP="00706A43">
      <w:pPr>
        <w:rPr>
          <w:rFonts w:ascii="Arial" w:hAnsi="Arial" w:cs="Arial"/>
          <w:i/>
        </w:rPr>
      </w:pPr>
      <w:r w:rsidRPr="00F037D3">
        <w:rPr>
          <w:rFonts w:ascii="Arial" w:hAnsi="Arial" w:cs="Arial"/>
          <w:i/>
        </w:rPr>
        <w:t>Nevada</w:t>
      </w:r>
    </w:p>
    <w:p w14:paraId="1849F33C" w14:textId="77777777" w:rsidR="00706A43" w:rsidRPr="00F037D3" w:rsidRDefault="00706A43" w:rsidP="00706A43">
      <w:pPr>
        <w:rPr>
          <w:rFonts w:ascii="Arial" w:hAnsi="Arial" w:cs="Arial"/>
        </w:rPr>
      </w:pPr>
      <w:r w:rsidRPr="00F037D3">
        <w:rPr>
          <w:rFonts w:ascii="Arial" w:hAnsi="Arial" w:cs="Arial"/>
        </w:rPr>
        <w:t>Southern Nevada Center for Independent Living</w:t>
      </w:r>
    </w:p>
    <w:p w14:paraId="6804F533" w14:textId="77777777" w:rsidR="00706A43" w:rsidRPr="00F037D3" w:rsidRDefault="00706A43" w:rsidP="00706A43">
      <w:pPr>
        <w:rPr>
          <w:rFonts w:ascii="Arial" w:hAnsi="Arial" w:cs="Arial"/>
          <w:i/>
        </w:rPr>
      </w:pPr>
    </w:p>
    <w:p w14:paraId="213F8C68" w14:textId="77777777" w:rsidR="00706A43" w:rsidRPr="00F037D3" w:rsidRDefault="00706A43" w:rsidP="00706A43">
      <w:pPr>
        <w:rPr>
          <w:rFonts w:ascii="Arial" w:hAnsi="Arial" w:cs="Arial"/>
          <w:i/>
        </w:rPr>
      </w:pPr>
      <w:r w:rsidRPr="00F037D3">
        <w:rPr>
          <w:rFonts w:ascii="Arial" w:hAnsi="Arial" w:cs="Arial"/>
          <w:i/>
        </w:rPr>
        <w:t>New York</w:t>
      </w:r>
    </w:p>
    <w:p w14:paraId="1DFA3452" w14:textId="77777777" w:rsidR="00706A43" w:rsidRPr="00F037D3" w:rsidRDefault="00706A43" w:rsidP="00706A43">
      <w:pPr>
        <w:rPr>
          <w:rFonts w:ascii="Arial" w:hAnsi="Arial" w:cs="Arial"/>
        </w:rPr>
      </w:pPr>
      <w:r w:rsidRPr="00F037D3">
        <w:rPr>
          <w:rFonts w:ascii="Arial" w:hAnsi="Arial" w:cs="Arial"/>
        </w:rPr>
        <w:t>Center for Disability Rights</w:t>
      </w:r>
    </w:p>
    <w:p w14:paraId="22B5ECA8" w14:textId="77777777" w:rsidR="00706A43" w:rsidRPr="00F037D3" w:rsidRDefault="00706A43" w:rsidP="00706A43">
      <w:pPr>
        <w:rPr>
          <w:rFonts w:ascii="Arial" w:hAnsi="Arial" w:cs="Arial"/>
        </w:rPr>
      </w:pPr>
      <w:r w:rsidRPr="00F037D3">
        <w:rPr>
          <w:rFonts w:ascii="Arial" w:hAnsi="Arial" w:cs="Arial"/>
        </w:rPr>
        <w:t>Finger Lakes Independence Center</w:t>
      </w:r>
    </w:p>
    <w:p w14:paraId="3844ABB8" w14:textId="77777777" w:rsidR="00706A43" w:rsidRPr="00F037D3" w:rsidRDefault="00706A43" w:rsidP="00706A43">
      <w:pPr>
        <w:rPr>
          <w:rFonts w:ascii="Arial" w:hAnsi="Arial" w:cs="Arial"/>
          <w:i/>
        </w:rPr>
      </w:pPr>
    </w:p>
    <w:p w14:paraId="3D7C7EA5" w14:textId="77777777" w:rsidR="00706A43" w:rsidRPr="00F037D3" w:rsidRDefault="00706A43" w:rsidP="00706A43">
      <w:pPr>
        <w:rPr>
          <w:rFonts w:ascii="Arial" w:hAnsi="Arial" w:cs="Arial"/>
          <w:i/>
        </w:rPr>
      </w:pPr>
      <w:r w:rsidRPr="00F037D3">
        <w:rPr>
          <w:rFonts w:ascii="Arial" w:hAnsi="Arial" w:cs="Arial"/>
          <w:i/>
        </w:rPr>
        <w:t>North Carolina</w:t>
      </w:r>
    </w:p>
    <w:p w14:paraId="6C1360BF" w14:textId="77777777" w:rsidR="00706A43" w:rsidRPr="00F037D3" w:rsidRDefault="00706A43" w:rsidP="00706A43">
      <w:pPr>
        <w:rPr>
          <w:rFonts w:ascii="Arial" w:hAnsi="Arial" w:cs="Arial"/>
        </w:rPr>
      </w:pPr>
      <w:r w:rsidRPr="00F037D3">
        <w:rPr>
          <w:rFonts w:ascii="Arial" w:hAnsi="Arial" w:cs="Arial"/>
        </w:rPr>
        <w:t>Pathways For The Future, Inc.</w:t>
      </w:r>
    </w:p>
    <w:p w14:paraId="3E73734D" w14:textId="77777777" w:rsidR="00706A43" w:rsidRPr="00F037D3" w:rsidRDefault="00706A43" w:rsidP="00706A43">
      <w:pPr>
        <w:rPr>
          <w:rFonts w:ascii="Arial" w:hAnsi="Arial" w:cs="Arial"/>
        </w:rPr>
      </w:pPr>
    </w:p>
    <w:p w14:paraId="6E1B2ACF" w14:textId="77777777" w:rsidR="00706A43" w:rsidRPr="00F037D3" w:rsidRDefault="00706A43" w:rsidP="00706A43">
      <w:pPr>
        <w:rPr>
          <w:rFonts w:ascii="Arial" w:hAnsi="Arial" w:cs="Arial"/>
          <w:i/>
        </w:rPr>
      </w:pPr>
      <w:r w:rsidRPr="00F037D3">
        <w:rPr>
          <w:rFonts w:ascii="Arial" w:hAnsi="Arial" w:cs="Arial"/>
          <w:i/>
        </w:rPr>
        <w:t>Oregon</w:t>
      </w:r>
    </w:p>
    <w:p w14:paraId="23463F3D" w14:textId="77777777" w:rsidR="00706A43" w:rsidRPr="00F037D3" w:rsidRDefault="00706A43" w:rsidP="00706A43">
      <w:pPr>
        <w:rPr>
          <w:rFonts w:ascii="Arial" w:hAnsi="Arial" w:cs="Arial"/>
        </w:rPr>
      </w:pPr>
      <w:r w:rsidRPr="00F037D3">
        <w:rPr>
          <w:rFonts w:ascii="Arial" w:hAnsi="Arial" w:cs="Arial"/>
        </w:rPr>
        <w:t>Eastern Oregon Center for Independent Living</w:t>
      </w:r>
    </w:p>
    <w:p w14:paraId="58F4BA56" w14:textId="77777777" w:rsidR="00706A43" w:rsidRPr="00F037D3" w:rsidRDefault="00706A43" w:rsidP="00706A43">
      <w:pPr>
        <w:rPr>
          <w:rFonts w:ascii="Arial" w:hAnsi="Arial" w:cs="Arial"/>
        </w:rPr>
      </w:pPr>
      <w:r w:rsidRPr="00F037D3">
        <w:rPr>
          <w:rFonts w:ascii="Arial" w:hAnsi="Arial" w:cs="Arial"/>
        </w:rPr>
        <w:t>Oregon State Independent Living Council</w:t>
      </w:r>
    </w:p>
    <w:p w14:paraId="3F9D5168" w14:textId="77777777" w:rsidR="00706A43" w:rsidRPr="00F037D3" w:rsidRDefault="00706A43" w:rsidP="00706A43">
      <w:pPr>
        <w:rPr>
          <w:rFonts w:ascii="Arial" w:hAnsi="Arial" w:cs="Arial"/>
          <w:i/>
        </w:rPr>
      </w:pPr>
    </w:p>
    <w:p w14:paraId="1148C64B" w14:textId="77777777" w:rsidR="00706A43" w:rsidRPr="00F037D3" w:rsidRDefault="00706A43" w:rsidP="00706A43">
      <w:pPr>
        <w:rPr>
          <w:rFonts w:ascii="Arial" w:hAnsi="Arial" w:cs="Arial"/>
          <w:i/>
        </w:rPr>
      </w:pPr>
      <w:r w:rsidRPr="00F037D3">
        <w:rPr>
          <w:rFonts w:ascii="Arial" w:hAnsi="Arial" w:cs="Arial"/>
          <w:i/>
        </w:rPr>
        <w:t>Pennsylvania</w:t>
      </w:r>
    </w:p>
    <w:p w14:paraId="2FEBF7F9" w14:textId="77777777" w:rsidR="00706A43" w:rsidRPr="00F037D3" w:rsidRDefault="00706A43" w:rsidP="00706A43">
      <w:pPr>
        <w:rPr>
          <w:rFonts w:ascii="Arial" w:hAnsi="Arial" w:cs="Arial"/>
        </w:rPr>
      </w:pPr>
      <w:r w:rsidRPr="00F037D3">
        <w:rPr>
          <w:rFonts w:ascii="Arial" w:hAnsi="Arial" w:cs="Arial"/>
        </w:rPr>
        <w:t>Pennsylvania Council on Independent Living</w:t>
      </w:r>
    </w:p>
    <w:p w14:paraId="0A94E54D" w14:textId="77777777" w:rsidR="00706A43" w:rsidRPr="00F037D3" w:rsidRDefault="00706A43" w:rsidP="00706A43">
      <w:pPr>
        <w:rPr>
          <w:rFonts w:ascii="Arial" w:hAnsi="Arial" w:cs="Arial"/>
          <w:i/>
        </w:rPr>
      </w:pPr>
    </w:p>
    <w:p w14:paraId="0D2D6649" w14:textId="77777777" w:rsidR="00706A43" w:rsidRPr="00F037D3" w:rsidRDefault="00706A43" w:rsidP="00706A43">
      <w:pPr>
        <w:rPr>
          <w:rFonts w:ascii="Arial" w:hAnsi="Arial" w:cs="Arial"/>
          <w:i/>
        </w:rPr>
      </w:pPr>
      <w:r w:rsidRPr="00F037D3">
        <w:rPr>
          <w:rFonts w:ascii="Arial" w:hAnsi="Arial" w:cs="Arial"/>
          <w:i/>
        </w:rPr>
        <w:t>South Carolina</w:t>
      </w:r>
    </w:p>
    <w:p w14:paraId="21B9B18C" w14:textId="77777777" w:rsidR="00706A43" w:rsidRPr="00F037D3" w:rsidRDefault="00706A43" w:rsidP="00706A43">
      <w:pPr>
        <w:rPr>
          <w:rFonts w:ascii="Arial" w:hAnsi="Arial" w:cs="Arial"/>
        </w:rPr>
      </w:pPr>
      <w:r w:rsidRPr="00F037D3">
        <w:rPr>
          <w:rFonts w:ascii="Arial" w:hAnsi="Arial" w:cs="Arial"/>
        </w:rPr>
        <w:t>Disability Resource Center (dba) AccessAbility</w:t>
      </w:r>
    </w:p>
    <w:p w14:paraId="6BDD1615" w14:textId="77777777" w:rsidR="00706A43" w:rsidRPr="00F037D3" w:rsidRDefault="00706A43" w:rsidP="00706A43">
      <w:pPr>
        <w:rPr>
          <w:rFonts w:ascii="Arial" w:hAnsi="Arial" w:cs="Arial"/>
          <w:i/>
        </w:rPr>
      </w:pPr>
    </w:p>
    <w:p w14:paraId="1BA515BF" w14:textId="77777777" w:rsidR="00706A43" w:rsidRPr="00F037D3" w:rsidRDefault="00706A43" w:rsidP="00706A43">
      <w:pPr>
        <w:rPr>
          <w:rFonts w:ascii="Arial" w:hAnsi="Arial" w:cs="Arial"/>
          <w:i/>
        </w:rPr>
      </w:pPr>
      <w:r w:rsidRPr="00F037D3">
        <w:rPr>
          <w:rFonts w:ascii="Arial" w:hAnsi="Arial" w:cs="Arial"/>
          <w:i/>
        </w:rPr>
        <w:t>Texas</w:t>
      </w:r>
    </w:p>
    <w:p w14:paraId="27400C71" w14:textId="77777777" w:rsidR="00706A43" w:rsidRPr="00F037D3" w:rsidRDefault="00706A43" w:rsidP="00706A43">
      <w:pPr>
        <w:rPr>
          <w:rFonts w:ascii="Arial" w:hAnsi="Arial" w:cs="Arial"/>
        </w:rPr>
      </w:pPr>
      <w:r w:rsidRPr="00F037D3">
        <w:rPr>
          <w:rFonts w:ascii="Arial" w:hAnsi="Arial" w:cs="Arial"/>
        </w:rPr>
        <w:t>Houston Center for Independent Living</w:t>
      </w:r>
    </w:p>
    <w:p w14:paraId="5F2A0C89" w14:textId="77777777" w:rsidR="00706A43" w:rsidRPr="00F037D3" w:rsidRDefault="00706A43" w:rsidP="00706A43">
      <w:pPr>
        <w:rPr>
          <w:rFonts w:ascii="Arial" w:hAnsi="Arial" w:cs="Arial"/>
        </w:rPr>
      </w:pPr>
      <w:r w:rsidRPr="00F037D3">
        <w:rPr>
          <w:rFonts w:ascii="Arial" w:hAnsi="Arial" w:cs="Arial"/>
        </w:rPr>
        <w:t>Panhandle Independent Living Center</w:t>
      </w:r>
    </w:p>
    <w:p w14:paraId="6B2FDA87" w14:textId="77777777" w:rsidR="00706A43" w:rsidRPr="00F037D3" w:rsidRDefault="00706A43" w:rsidP="00706A43">
      <w:pPr>
        <w:rPr>
          <w:rFonts w:ascii="Arial" w:hAnsi="Arial" w:cs="Arial"/>
        </w:rPr>
      </w:pPr>
      <w:r w:rsidRPr="00F037D3">
        <w:rPr>
          <w:rFonts w:ascii="Arial" w:hAnsi="Arial" w:cs="Arial"/>
        </w:rPr>
        <w:t>REACH Resource Centers on Independent Living- Fort Worth, Dallas, Denton &amp; Plano</w:t>
      </w:r>
    </w:p>
    <w:p w14:paraId="25DF696D" w14:textId="77777777" w:rsidR="00706A43" w:rsidRPr="00F037D3" w:rsidRDefault="00706A43" w:rsidP="00706A43">
      <w:pPr>
        <w:rPr>
          <w:rFonts w:ascii="Arial" w:hAnsi="Arial" w:cs="Arial"/>
        </w:rPr>
      </w:pPr>
      <w:r w:rsidRPr="00F037D3">
        <w:rPr>
          <w:rFonts w:ascii="Arial" w:hAnsi="Arial" w:cs="Arial"/>
        </w:rPr>
        <w:t>Texas Democrats with Disabilities</w:t>
      </w:r>
    </w:p>
    <w:p w14:paraId="06DC4228" w14:textId="77777777" w:rsidR="00706A43" w:rsidRPr="00F037D3" w:rsidRDefault="00706A43" w:rsidP="00706A43">
      <w:pPr>
        <w:rPr>
          <w:rFonts w:ascii="Arial" w:hAnsi="Arial" w:cs="Arial"/>
        </w:rPr>
      </w:pPr>
    </w:p>
    <w:p w14:paraId="4AE2BDEA" w14:textId="77777777" w:rsidR="00706A43" w:rsidRPr="00F037D3" w:rsidRDefault="00706A43" w:rsidP="00706A43">
      <w:pPr>
        <w:rPr>
          <w:rFonts w:ascii="Arial" w:hAnsi="Arial" w:cs="Arial"/>
          <w:i/>
        </w:rPr>
      </w:pPr>
      <w:r w:rsidRPr="00F037D3">
        <w:rPr>
          <w:rFonts w:ascii="Arial" w:hAnsi="Arial" w:cs="Arial"/>
          <w:i/>
        </w:rPr>
        <w:t>Vermont</w:t>
      </w:r>
    </w:p>
    <w:p w14:paraId="779C9B7D" w14:textId="77777777" w:rsidR="00706A43" w:rsidRPr="00F037D3" w:rsidRDefault="00706A43" w:rsidP="00706A43">
      <w:pPr>
        <w:rPr>
          <w:rFonts w:ascii="Arial" w:hAnsi="Arial" w:cs="Arial"/>
        </w:rPr>
      </w:pPr>
      <w:r w:rsidRPr="00F037D3">
        <w:rPr>
          <w:rFonts w:ascii="Arial" w:hAnsi="Arial" w:cs="Arial"/>
        </w:rPr>
        <w:t>Vermont Center for Independent Living</w:t>
      </w:r>
    </w:p>
    <w:p w14:paraId="4E05F050" w14:textId="77777777" w:rsidR="00706A43" w:rsidRPr="00F037D3" w:rsidRDefault="00706A43" w:rsidP="00706A43">
      <w:pPr>
        <w:rPr>
          <w:rFonts w:ascii="Arial" w:hAnsi="Arial" w:cs="Arial"/>
        </w:rPr>
      </w:pPr>
      <w:r w:rsidRPr="00F037D3">
        <w:rPr>
          <w:rFonts w:ascii="Arial" w:hAnsi="Arial" w:cs="Arial"/>
        </w:rPr>
        <w:t>Vermont Coalition for Disability Rights</w:t>
      </w:r>
    </w:p>
    <w:p w14:paraId="54E10819" w14:textId="77777777" w:rsidR="00706A43" w:rsidRPr="00F037D3" w:rsidRDefault="00706A43" w:rsidP="00706A43">
      <w:pPr>
        <w:rPr>
          <w:rFonts w:ascii="Arial" w:hAnsi="Arial" w:cs="Arial"/>
        </w:rPr>
      </w:pPr>
      <w:r w:rsidRPr="00F037D3">
        <w:rPr>
          <w:rFonts w:ascii="Arial" w:hAnsi="Arial" w:cs="Arial"/>
        </w:rPr>
        <w:t>State Rehabilitation Council Advocacy Outreach and Education Committee</w:t>
      </w:r>
    </w:p>
    <w:p w14:paraId="58009B85" w14:textId="77777777" w:rsidR="00706A43" w:rsidRPr="00F037D3" w:rsidRDefault="00706A43" w:rsidP="00706A43">
      <w:pPr>
        <w:rPr>
          <w:rFonts w:ascii="Arial" w:hAnsi="Arial" w:cs="Arial"/>
        </w:rPr>
      </w:pPr>
      <w:r w:rsidRPr="00F037D3">
        <w:rPr>
          <w:rFonts w:ascii="Arial" w:hAnsi="Arial" w:cs="Arial"/>
        </w:rPr>
        <w:t>Vermont Psychiatric Survivors, Inc.</w:t>
      </w:r>
    </w:p>
    <w:p w14:paraId="2A5B217F" w14:textId="77777777" w:rsidR="00706A43" w:rsidRPr="00F037D3" w:rsidRDefault="00706A43" w:rsidP="00706A43">
      <w:pPr>
        <w:rPr>
          <w:rFonts w:ascii="Arial" w:hAnsi="Arial" w:cs="Arial"/>
          <w:i/>
        </w:rPr>
      </w:pPr>
    </w:p>
    <w:p w14:paraId="0520D95C" w14:textId="77777777" w:rsidR="00706A43" w:rsidRPr="00F037D3" w:rsidRDefault="00706A43" w:rsidP="00706A43">
      <w:pPr>
        <w:rPr>
          <w:rFonts w:ascii="Arial" w:hAnsi="Arial" w:cs="Arial"/>
          <w:i/>
        </w:rPr>
      </w:pPr>
      <w:r w:rsidRPr="00F037D3">
        <w:rPr>
          <w:rFonts w:ascii="Arial" w:hAnsi="Arial" w:cs="Arial"/>
          <w:i/>
        </w:rPr>
        <w:t>Virginia</w:t>
      </w:r>
    </w:p>
    <w:p w14:paraId="583F5831" w14:textId="77777777" w:rsidR="00706A43" w:rsidRPr="00F037D3" w:rsidRDefault="00706A43" w:rsidP="00706A43">
      <w:pPr>
        <w:rPr>
          <w:rFonts w:ascii="Arial" w:hAnsi="Arial" w:cs="Arial"/>
        </w:rPr>
      </w:pPr>
      <w:r w:rsidRPr="00F037D3">
        <w:rPr>
          <w:rFonts w:ascii="Arial" w:hAnsi="Arial" w:cs="Arial"/>
        </w:rPr>
        <w:t>Appalachian Independence Center, Inc.</w:t>
      </w:r>
    </w:p>
    <w:p w14:paraId="11272B5E" w14:textId="77777777" w:rsidR="00706A43" w:rsidRPr="00F037D3" w:rsidRDefault="00706A43" w:rsidP="00706A43">
      <w:pPr>
        <w:rPr>
          <w:rFonts w:ascii="Arial" w:hAnsi="Arial" w:cs="Arial"/>
        </w:rPr>
      </w:pPr>
      <w:r w:rsidRPr="00F037D3">
        <w:rPr>
          <w:rFonts w:ascii="Arial" w:hAnsi="Arial" w:cs="Arial"/>
        </w:rPr>
        <w:t>Blue Ridge Independent Living Center</w:t>
      </w:r>
    </w:p>
    <w:p w14:paraId="26B76747" w14:textId="77777777" w:rsidR="00706A43" w:rsidRPr="00F037D3" w:rsidRDefault="00706A43" w:rsidP="00706A43">
      <w:pPr>
        <w:rPr>
          <w:rFonts w:ascii="Arial" w:hAnsi="Arial" w:cs="Arial"/>
        </w:rPr>
      </w:pPr>
      <w:r w:rsidRPr="00F037D3">
        <w:rPr>
          <w:rFonts w:ascii="Arial" w:hAnsi="Arial" w:cs="Arial"/>
        </w:rPr>
        <w:t>disAbility Resource Center of the Rappahannock Area, Inc.</w:t>
      </w:r>
    </w:p>
    <w:p w14:paraId="6501D61F" w14:textId="77777777" w:rsidR="00706A43" w:rsidRPr="00F037D3" w:rsidRDefault="00706A43" w:rsidP="00706A43">
      <w:pPr>
        <w:rPr>
          <w:rFonts w:ascii="Arial" w:hAnsi="Arial" w:cs="Arial"/>
        </w:rPr>
      </w:pPr>
      <w:r w:rsidRPr="00F037D3">
        <w:rPr>
          <w:rFonts w:ascii="Arial" w:hAnsi="Arial" w:cs="Arial"/>
        </w:rPr>
        <w:t>Eastern Shore Center for Independent Living</w:t>
      </w:r>
    </w:p>
    <w:p w14:paraId="12806078" w14:textId="77777777" w:rsidR="00706A43" w:rsidRPr="00F037D3" w:rsidRDefault="00706A43" w:rsidP="00706A43">
      <w:pPr>
        <w:rPr>
          <w:rFonts w:ascii="Arial" w:hAnsi="Arial" w:cs="Arial"/>
        </w:rPr>
      </w:pPr>
      <w:r w:rsidRPr="00F037D3">
        <w:rPr>
          <w:rFonts w:ascii="Arial" w:hAnsi="Arial" w:cs="Arial"/>
        </w:rPr>
        <w:t>Endependence Center</w:t>
      </w:r>
    </w:p>
    <w:p w14:paraId="6201A313" w14:textId="77777777" w:rsidR="00706A43" w:rsidRPr="00F037D3" w:rsidRDefault="00706A43" w:rsidP="00706A43">
      <w:pPr>
        <w:rPr>
          <w:rFonts w:ascii="Arial" w:hAnsi="Arial" w:cs="Arial"/>
        </w:rPr>
      </w:pPr>
      <w:r w:rsidRPr="00F037D3">
        <w:rPr>
          <w:rFonts w:ascii="Arial" w:hAnsi="Arial" w:cs="Arial"/>
        </w:rPr>
        <w:t>Independence Empowerment Center</w:t>
      </w:r>
    </w:p>
    <w:p w14:paraId="73D9F4AE" w14:textId="77777777" w:rsidR="00706A43" w:rsidRPr="00F037D3" w:rsidRDefault="00706A43" w:rsidP="00706A43">
      <w:pPr>
        <w:rPr>
          <w:rFonts w:ascii="Arial" w:hAnsi="Arial" w:cs="Arial"/>
        </w:rPr>
      </w:pPr>
      <w:r w:rsidRPr="00F037D3">
        <w:rPr>
          <w:rFonts w:ascii="Arial" w:hAnsi="Arial" w:cs="Arial"/>
        </w:rPr>
        <w:t>Lynchburg Area Center for Independent Living Inc.</w:t>
      </w:r>
    </w:p>
    <w:p w14:paraId="0B8C9CD1" w14:textId="77777777" w:rsidR="00706A43" w:rsidRPr="00F037D3" w:rsidRDefault="00706A43" w:rsidP="00706A43">
      <w:pPr>
        <w:rPr>
          <w:rFonts w:ascii="Arial" w:hAnsi="Arial" w:cs="Arial"/>
        </w:rPr>
      </w:pPr>
      <w:r w:rsidRPr="00F037D3">
        <w:rPr>
          <w:rFonts w:ascii="Arial" w:hAnsi="Arial" w:cs="Arial"/>
        </w:rPr>
        <w:t>New River Valley Disability Resource Center</w:t>
      </w:r>
    </w:p>
    <w:p w14:paraId="2C68BD18" w14:textId="77777777" w:rsidR="00706A43" w:rsidRPr="00F037D3" w:rsidRDefault="00706A43" w:rsidP="00706A43">
      <w:pPr>
        <w:rPr>
          <w:rFonts w:ascii="Arial" w:hAnsi="Arial" w:cs="Arial"/>
        </w:rPr>
      </w:pPr>
      <w:r w:rsidRPr="00F037D3">
        <w:rPr>
          <w:rFonts w:ascii="Arial" w:hAnsi="Arial" w:cs="Arial"/>
        </w:rPr>
        <w:t>Resources for Independent Living Inc.</w:t>
      </w:r>
    </w:p>
    <w:p w14:paraId="492AF9EA" w14:textId="77777777" w:rsidR="00706A43" w:rsidRPr="00F037D3" w:rsidRDefault="00706A43" w:rsidP="00706A43">
      <w:pPr>
        <w:rPr>
          <w:rFonts w:ascii="Arial" w:hAnsi="Arial" w:cs="Arial"/>
        </w:rPr>
      </w:pPr>
      <w:r w:rsidRPr="00F037D3">
        <w:rPr>
          <w:rFonts w:ascii="Arial" w:hAnsi="Arial" w:cs="Arial"/>
        </w:rPr>
        <w:t>Valley Associates for Independent Living</w:t>
      </w:r>
    </w:p>
    <w:p w14:paraId="10C268B1" w14:textId="77777777" w:rsidR="00706A43" w:rsidRPr="00F037D3" w:rsidRDefault="00706A43" w:rsidP="00706A43">
      <w:pPr>
        <w:rPr>
          <w:rFonts w:ascii="Arial" w:hAnsi="Arial" w:cs="Arial"/>
        </w:rPr>
      </w:pPr>
      <w:r w:rsidRPr="00F037D3">
        <w:rPr>
          <w:rFonts w:ascii="Arial" w:hAnsi="Arial" w:cs="Arial"/>
        </w:rPr>
        <w:t>Virginia Association of Centers for Independent Living</w:t>
      </w:r>
    </w:p>
    <w:p w14:paraId="0D370A3F" w14:textId="77777777" w:rsidR="00706A43" w:rsidRPr="00F037D3" w:rsidRDefault="00706A43" w:rsidP="00706A43">
      <w:pPr>
        <w:rPr>
          <w:rFonts w:ascii="Arial" w:hAnsi="Arial" w:cs="Arial"/>
          <w:i/>
        </w:rPr>
      </w:pPr>
    </w:p>
    <w:p w14:paraId="1390D25B" w14:textId="77777777" w:rsidR="00706A43" w:rsidRPr="00F037D3" w:rsidRDefault="00706A43" w:rsidP="00706A43">
      <w:pPr>
        <w:rPr>
          <w:rFonts w:ascii="Arial" w:hAnsi="Arial" w:cs="Arial"/>
          <w:i/>
        </w:rPr>
      </w:pPr>
      <w:r w:rsidRPr="00F037D3">
        <w:rPr>
          <w:rFonts w:ascii="Arial" w:hAnsi="Arial" w:cs="Arial"/>
          <w:i/>
        </w:rPr>
        <w:t>Washington</w:t>
      </w:r>
    </w:p>
    <w:p w14:paraId="35E29AC4" w14:textId="77777777" w:rsidR="00706A43" w:rsidRPr="00F037D3" w:rsidRDefault="00706A43" w:rsidP="00706A43">
      <w:pPr>
        <w:rPr>
          <w:rFonts w:ascii="Arial" w:hAnsi="Arial" w:cs="Arial"/>
        </w:rPr>
      </w:pPr>
      <w:r w:rsidRPr="00F037D3">
        <w:rPr>
          <w:rFonts w:ascii="Arial" w:hAnsi="Arial" w:cs="Arial"/>
        </w:rPr>
        <w:t>Spokane Center for Independent Living</w:t>
      </w:r>
    </w:p>
    <w:p w14:paraId="51582366" w14:textId="77777777" w:rsidR="00706A43" w:rsidRPr="00F037D3" w:rsidRDefault="00706A43" w:rsidP="00706A43">
      <w:pPr>
        <w:rPr>
          <w:rFonts w:ascii="Arial" w:hAnsi="Arial" w:cs="Arial"/>
        </w:rPr>
      </w:pPr>
      <w:r w:rsidRPr="00F037D3">
        <w:rPr>
          <w:rFonts w:ascii="Arial" w:hAnsi="Arial" w:cs="Arial"/>
        </w:rPr>
        <w:t>Washington ADAPT</w:t>
      </w:r>
    </w:p>
    <w:p w14:paraId="3D52E3DC" w14:textId="77777777" w:rsidR="00706A43" w:rsidRPr="00F037D3" w:rsidRDefault="00706A43" w:rsidP="00706A43">
      <w:pPr>
        <w:rPr>
          <w:rFonts w:ascii="Arial" w:hAnsi="Arial" w:cs="Arial"/>
          <w:i/>
        </w:rPr>
      </w:pPr>
    </w:p>
    <w:p w14:paraId="2FFC46AA" w14:textId="77777777" w:rsidR="00706A43" w:rsidRPr="00F037D3" w:rsidRDefault="00706A43" w:rsidP="00706A43">
      <w:pPr>
        <w:rPr>
          <w:rFonts w:ascii="Arial" w:hAnsi="Arial" w:cs="Arial"/>
          <w:i/>
        </w:rPr>
      </w:pPr>
      <w:r w:rsidRPr="00F037D3">
        <w:rPr>
          <w:rFonts w:ascii="Arial" w:hAnsi="Arial" w:cs="Arial"/>
          <w:i/>
        </w:rPr>
        <w:t>Washington, D.C.</w:t>
      </w:r>
    </w:p>
    <w:p w14:paraId="7C2FB621" w14:textId="77777777" w:rsidR="00706A43" w:rsidRPr="00F037D3" w:rsidRDefault="00706A43" w:rsidP="00706A43">
      <w:pPr>
        <w:rPr>
          <w:rFonts w:ascii="Arial" w:hAnsi="Arial" w:cs="Arial"/>
        </w:rPr>
      </w:pPr>
      <w:r w:rsidRPr="00F037D3">
        <w:rPr>
          <w:rFonts w:ascii="Arial" w:hAnsi="Arial" w:cs="Arial"/>
        </w:rPr>
        <w:t>DC Metro ADAPT</w:t>
      </w:r>
    </w:p>
    <w:p w14:paraId="4D6B100A" w14:textId="77777777" w:rsidR="00706A43" w:rsidRDefault="00706A43" w:rsidP="00706A43">
      <w:pPr>
        <w:rPr>
          <w:rFonts w:ascii="Arial" w:hAnsi="Arial" w:cs="Arial"/>
        </w:rPr>
      </w:pPr>
    </w:p>
    <w:p w14:paraId="1F5339CF" w14:textId="77777777" w:rsidR="00706A43" w:rsidRPr="00F037D3" w:rsidRDefault="00706A43" w:rsidP="00706A43">
      <w:pPr>
        <w:rPr>
          <w:rFonts w:ascii="Arial" w:hAnsi="Arial" w:cs="Arial"/>
        </w:rPr>
      </w:pPr>
    </w:p>
    <w:p w14:paraId="56DD7C6F" w14:textId="77777777" w:rsidR="00706A43" w:rsidRPr="00F037D3" w:rsidRDefault="00706A43" w:rsidP="00706A43">
      <w:pPr>
        <w:rPr>
          <w:rFonts w:ascii="Arial" w:hAnsi="Arial" w:cs="Arial"/>
          <w:i/>
        </w:rPr>
      </w:pPr>
      <w:r w:rsidRPr="00F037D3">
        <w:rPr>
          <w:rFonts w:ascii="Arial" w:hAnsi="Arial" w:cs="Arial"/>
          <w:i/>
        </w:rPr>
        <w:t>West Virginia</w:t>
      </w:r>
    </w:p>
    <w:p w14:paraId="09FB9E0C" w14:textId="77777777" w:rsidR="00706A43" w:rsidRPr="00F037D3" w:rsidRDefault="00706A43" w:rsidP="00706A43">
      <w:pPr>
        <w:rPr>
          <w:rFonts w:ascii="Arial" w:hAnsi="Arial" w:cs="Arial"/>
        </w:rPr>
      </w:pPr>
      <w:r w:rsidRPr="00F037D3">
        <w:rPr>
          <w:rFonts w:ascii="Arial" w:hAnsi="Arial" w:cs="Arial"/>
        </w:rPr>
        <w:t>Mountain State Centers for Independent Living</w:t>
      </w:r>
    </w:p>
    <w:p w14:paraId="14EADF2B" w14:textId="77777777" w:rsidR="00706A43" w:rsidRPr="00F037D3" w:rsidRDefault="00706A43" w:rsidP="00706A43">
      <w:pPr>
        <w:rPr>
          <w:rFonts w:ascii="Arial" w:hAnsi="Arial" w:cs="Arial"/>
          <w:i/>
        </w:rPr>
      </w:pPr>
    </w:p>
    <w:p w14:paraId="11803FED" w14:textId="77777777" w:rsidR="00706A43" w:rsidRPr="00F037D3" w:rsidRDefault="00706A43" w:rsidP="00706A43">
      <w:pPr>
        <w:rPr>
          <w:rFonts w:ascii="Arial" w:hAnsi="Arial" w:cs="Arial"/>
          <w:i/>
        </w:rPr>
      </w:pPr>
      <w:r w:rsidRPr="00F037D3">
        <w:rPr>
          <w:rFonts w:ascii="Arial" w:hAnsi="Arial" w:cs="Arial"/>
          <w:i/>
        </w:rPr>
        <w:t>Wisconsin</w:t>
      </w:r>
    </w:p>
    <w:p w14:paraId="00212FA2" w14:textId="77777777" w:rsidR="00706A43" w:rsidRPr="00F037D3" w:rsidRDefault="00706A43" w:rsidP="00706A43">
      <w:pPr>
        <w:rPr>
          <w:rFonts w:ascii="Arial" w:hAnsi="Arial" w:cs="Arial"/>
          <w:i/>
        </w:rPr>
      </w:pPr>
      <w:r w:rsidRPr="00F037D3">
        <w:rPr>
          <w:rFonts w:ascii="Arial" w:hAnsi="Arial" w:cs="Arial"/>
        </w:rPr>
        <w:t>IndependenceFirst</w:t>
      </w:r>
    </w:p>
    <w:p w14:paraId="142D06BD" w14:textId="77777777" w:rsidR="00706A43" w:rsidRPr="00F037D3" w:rsidRDefault="00706A43" w:rsidP="00706A43">
      <w:pPr>
        <w:rPr>
          <w:rFonts w:ascii="Arial" w:hAnsi="Arial" w:cs="Arial"/>
        </w:rPr>
      </w:pPr>
      <w:r w:rsidRPr="00F037D3">
        <w:rPr>
          <w:rFonts w:ascii="Arial" w:hAnsi="Arial" w:cs="Arial"/>
        </w:rPr>
        <w:t>Wisconsin Coalition of Independent Living</w:t>
      </w:r>
    </w:p>
    <w:p w14:paraId="1E682C92" w14:textId="77777777" w:rsidR="00706A43" w:rsidRPr="00706A43" w:rsidRDefault="00706A43" w:rsidP="00706A43">
      <w:pPr>
        <w:rPr>
          <w:rFonts w:ascii="Arial" w:hAnsi="Arial" w:cs="Arial"/>
          <w:color w:val="000000"/>
        </w:rPr>
      </w:pPr>
    </w:p>
    <w:p w14:paraId="1D82AFD2" w14:textId="77777777" w:rsidR="00706A43" w:rsidRPr="00706A43" w:rsidRDefault="00706A43" w:rsidP="00706A43">
      <w:pPr>
        <w:rPr>
          <w:rFonts w:ascii="Arial" w:hAnsi="Arial" w:cs="Arial"/>
          <w:color w:val="000000"/>
        </w:rPr>
      </w:pPr>
    </w:p>
    <w:p w14:paraId="399FBB9E" w14:textId="77777777" w:rsidR="00706A43" w:rsidRDefault="00706A43" w:rsidP="00706A43">
      <w:pPr>
        <w:rPr>
          <w:rFonts w:ascii="Arial" w:hAnsi="Arial" w:cs="Arial"/>
        </w:rPr>
      </w:pPr>
      <w:r>
        <w:rPr>
          <w:rFonts w:ascii="Arial" w:hAnsi="Arial" w:cs="Arial"/>
        </w:rPr>
        <w:t xml:space="preserve">cc: </w:t>
      </w:r>
      <w:r>
        <w:rPr>
          <w:rFonts w:ascii="Arial" w:hAnsi="Arial" w:cs="Arial"/>
        </w:rPr>
        <w:tab/>
        <w:t>Senate HELP Committee</w:t>
      </w:r>
    </w:p>
    <w:p w14:paraId="3FED7C4F" w14:textId="77777777" w:rsidR="00706A43" w:rsidRPr="00204D75" w:rsidRDefault="00706A43" w:rsidP="00706A43">
      <w:pPr>
        <w:rPr>
          <w:rFonts w:ascii="Arial" w:hAnsi="Arial" w:cs="Arial"/>
        </w:rPr>
      </w:pPr>
      <w:r>
        <w:rPr>
          <w:rFonts w:ascii="Arial" w:hAnsi="Arial" w:cs="Arial"/>
        </w:rPr>
        <w:tab/>
        <w:t>House Energy &amp; Commerce Committee</w:t>
      </w:r>
    </w:p>
    <w:p w14:paraId="14C6A95C" w14:textId="77777777" w:rsidR="00706A43" w:rsidRPr="00215B40" w:rsidRDefault="00706A43" w:rsidP="00706A43">
      <w:pPr>
        <w:rPr>
          <w:rFonts w:ascii="Arial" w:hAnsi="Arial" w:cs="Arial"/>
        </w:rPr>
      </w:pPr>
    </w:p>
    <w:p w14:paraId="245BECEA" w14:textId="77777777" w:rsidR="00F26F72" w:rsidRPr="00204D75" w:rsidRDefault="00F26F72">
      <w:pPr>
        <w:spacing w:after="200" w:line="276" w:lineRule="auto"/>
        <w:rPr>
          <w:rFonts w:ascii="Arial" w:hAnsi="Arial" w:cs="Arial"/>
          <w:noProof/>
        </w:rPr>
      </w:pPr>
    </w:p>
    <w:p w14:paraId="759C9336" w14:textId="77777777" w:rsidR="009F3FC3" w:rsidRPr="00204D75" w:rsidRDefault="009F3FC3">
      <w:pPr>
        <w:rPr>
          <w:rFonts w:ascii="Arial" w:hAnsi="Arial" w:cs="Arial"/>
        </w:rPr>
      </w:pPr>
    </w:p>
    <w:sectPr w:rsidR="009F3FC3" w:rsidRPr="00204D75" w:rsidSect="00F26F72">
      <w:endnotePr>
        <w:numFmt w:val="decimal"/>
      </w:endnotePr>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458657" w14:textId="77777777" w:rsidR="00400739" w:rsidRDefault="00400739" w:rsidP="00706A43">
      <w:r>
        <w:separator/>
      </w:r>
    </w:p>
  </w:endnote>
  <w:endnote w:type="continuationSeparator" w:id="0">
    <w:p w14:paraId="1EC1AAD9" w14:textId="77777777" w:rsidR="00400739" w:rsidRDefault="00400739" w:rsidP="00706A43">
      <w:r>
        <w:continuationSeparator/>
      </w:r>
    </w:p>
  </w:endnote>
  <w:endnote w:id="1">
    <w:p w14:paraId="412DEDCE" w14:textId="77777777" w:rsidR="00706A43" w:rsidRPr="00706A43" w:rsidRDefault="00706A43" w:rsidP="00706A43">
      <w:pPr>
        <w:pStyle w:val="FootnoteText"/>
        <w:rPr>
          <w:rFonts w:cs="Calibri"/>
        </w:rPr>
      </w:pPr>
      <w:r w:rsidRPr="00706A43">
        <w:rPr>
          <w:rStyle w:val="EndnoteReference"/>
          <w:rFonts w:cs="Calibri"/>
        </w:rPr>
        <w:endnoteRef/>
      </w:r>
      <w:r w:rsidRPr="00706A43">
        <w:rPr>
          <w:rFonts w:cs="Calibri"/>
        </w:rPr>
        <w:t xml:space="preserve"> Dowell, D., Haegerich, T., and Chou, R., “No Shortcuts to Safer Opioid Prescribing,” </w:t>
      </w:r>
      <w:r w:rsidRPr="00706A43">
        <w:rPr>
          <w:rFonts w:cs="Calibri"/>
          <w:iCs/>
        </w:rPr>
        <w:t>New England Jol.</w:t>
      </w:r>
      <w:r w:rsidRPr="00706A43">
        <w:rPr>
          <w:rFonts w:cs="Calibri"/>
        </w:rPr>
        <w:t xml:space="preserve">, April 24, 2019, </w:t>
      </w:r>
      <w:hyperlink r:id="rId1" w:history="1">
        <w:r w:rsidRPr="00706A43">
          <w:rPr>
            <w:rStyle w:val="Hyperlink"/>
            <w:rFonts w:cs="Calibri"/>
          </w:rPr>
          <w:t>https://www.nejm.org/doi/full/10.1056/NEJMp1904190</w:t>
        </w:r>
      </w:hyperlink>
    </w:p>
    <w:p w14:paraId="1A08D26D" w14:textId="77777777" w:rsidR="00706A43" w:rsidRPr="00706A43" w:rsidRDefault="00706A43" w:rsidP="00706A43">
      <w:pPr>
        <w:pStyle w:val="FootnoteText"/>
        <w:rPr>
          <w:rFonts w:cs="Calibri"/>
        </w:rPr>
      </w:pPr>
    </w:p>
  </w:endnote>
  <w:endnote w:id="2">
    <w:p w14:paraId="5F7D6A3A" w14:textId="77777777" w:rsidR="00706A43" w:rsidRPr="00706A43" w:rsidRDefault="00706A43" w:rsidP="00706A43">
      <w:pPr>
        <w:rPr>
          <w:rStyle w:val="HTMLCite"/>
          <w:rFonts w:cs="Calibri"/>
          <w:i w:val="0"/>
          <w:iCs w:val="0"/>
          <w:color w:val="006621"/>
          <w:sz w:val="20"/>
          <w:szCs w:val="20"/>
        </w:rPr>
      </w:pPr>
      <w:r w:rsidRPr="00706A43">
        <w:rPr>
          <w:rStyle w:val="EndnoteReference"/>
          <w:rFonts w:cs="Calibri"/>
          <w:sz w:val="20"/>
          <w:szCs w:val="20"/>
        </w:rPr>
        <w:endnoteRef/>
      </w:r>
      <w:r w:rsidRPr="00706A43">
        <w:rPr>
          <w:rFonts w:cs="Calibri"/>
          <w:sz w:val="20"/>
          <w:szCs w:val="20"/>
        </w:rPr>
        <w:t xml:space="preserve"> FDA Safety Announcement, FDA Identifies Harm Reported from Sudden Discontinuation of Opioid Pain Medicines and Requires Label Change to Guide Prescribers on Gradual, Individualized Tapering, April 9, </w:t>
      </w:r>
      <w:hyperlink r:id="rId2" w:history="1">
        <w:r w:rsidRPr="00706A43">
          <w:rPr>
            <w:rStyle w:val="Hyperlink"/>
            <w:rFonts w:cs="Calibri"/>
            <w:sz w:val="20"/>
            <w:szCs w:val="20"/>
          </w:rPr>
          <w:t>https://www.fda.gov/drugs/drug-safety-and-availability/fda-identifies-harm-reported-sudden-discontinuation-opioid-pain-medicines-and-requires-label-changes</w:t>
        </w:r>
      </w:hyperlink>
    </w:p>
    <w:p w14:paraId="6961099C" w14:textId="77777777" w:rsidR="00706A43" w:rsidRPr="00706A43" w:rsidRDefault="00706A43" w:rsidP="00706A43">
      <w:pPr>
        <w:rPr>
          <w:rFonts w:cs="Calibri"/>
          <w:sz w:val="20"/>
          <w:szCs w:val="20"/>
        </w:rPr>
      </w:pPr>
    </w:p>
  </w:endnote>
  <w:endnote w:id="3">
    <w:p w14:paraId="4ABA9E02" w14:textId="77777777" w:rsidR="00706A43" w:rsidRPr="00706A43" w:rsidRDefault="00706A43" w:rsidP="00706A43">
      <w:pPr>
        <w:pStyle w:val="FootnoteText"/>
        <w:rPr>
          <w:rFonts w:cs="Calibri"/>
        </w:rPr>
      </w:pPr>
      <w:r w:rsidRPr="00706A43">
        <w:rPr>
          <w:rStyle w:val="EndnoteReference"/>
          <w:rFonts w:cs="Calibri"/>
        </w:rPr>
        <w:endnoteRef/>
      </w:r>
      <w:r w:rsidRPr="00706A43">
        <w:rPr>
          <w:rFonts w:cs="Calibri"/>
        </w:rPr>
        <w:t xml:space="preserve"> Pain Management Best Practices Inter-Agency Task Force Report: Updates, Gaps, Inconsistencies, and Recommendations, Final Report, May 23, 2019, </w:t>
      </w:r>
      <w:r w:rsidRPr="00706A43">
        <w:rPr>
          <w:rStyle w:val="FootnoteReference"/>
          <w:rFonts w:cs="Calibri"/>
        </w:rPr>
        <w:endnoteRef/>
      </w:r>
      <w:r w:rsidRPr="00706A43">
        <w:rPr>
          <w:rFonts w:cs="Calibri"/>
        </w:rPr>
        <w:t xml:space="preserve"> </w:t>
      </w:r>
      <w:hyperlink r:id="rId3" w:history="1">
        <w:r w:rsidRPr="00706A43">
          <w:rPr>
            <w:rStyle w:val="Hyperlink"/>
            <w:rFonts w:cs="Calibri"/>
          </w:rPr>
          <w:t>https://www.hhs.gov/sites/default/files/pmtf-final-report-2019-05-23.pdf</w:t>
        </w:r>
      </w:hyperlink>
    </w:p>
    <w:p w14:paraId="744C81A0" w14:textId="77777777" w:rsidR="00706A43" w:rsidRPr="00706A43" w:rsidRDefault="00706A43" w:rsidP="00706A43">
      <w:pPr>
        <w:pStyle w:val="EndnoteText"/>
        <w:rPr>
          <w:rFonts w:ascii="Calibri" w:hAnsi="Calibri" w:cs="Calibri"/>
        </w:rPr>
      </w:pPr>
    </w:p>
  </w:endnote>
  <w:endnote w:id="4">
    <w:p w14:paraId="3615BB3B" w14:textId="77777777" w:rsidR="00706A43" w:rsidRPr="00706A43" w:rsidRDefault="00706A43" w:rsidP="00706A43">
      <w:pPr>
        <w:pStyle w:val="EndnoteText"/>
        <w:rPr>
          <w:rFonts w:ascii="Calibri" w:hAnsi="Calibri" w:cs="Calibri"/>
        </w:rPr>
      </w:pPr>
      <w:r w:rsidRPr="00706A43">
        <w:rPr>
          <w:rStyle w:val="EndnoteReference"/>
          <w:rFonts w:ascii="Calibri" w:hAnsi="Calibri" w:cs="Calibri"/>
        </w:rPr>
        <w:endnoteRef/>
      </w:r>
      <w:r w:rsidRPr="00706A43">
        <w:rPr>
          <w:rFonts w:ascii="Calibri" w:hAnsi="Calibri" w:cs="Calibri"/>
        </w:rPr>
        <w:t xml:space="preserve"> Davis, C, Lieberman, A, Hernandez-Delagato, H and Suba, C, Laws Limiting the Prescribing or Dispensing of Opioids for Acute Pain in the United States: A National Systemic Legal Review, Drug and Alcohol Dep. (2019), </w:t>
      </w:r>
      <w:hyperlink r:id="rId4" w:history="1">
        <w:r w:rsidRPr="00706A43">
          <w:rPr>
            <w:rStyle w:val="Hyperlink"/>
            <w:rFonts w:ascii="Calibri" w:hAnsi="Calibri" w:cs="Calibri"/>
          </w:rPr>
          <w:t>https://www.sciencedirect.com/science/article/pii/S0376871618307701</w:t>
        </w:r>
      </w:hyperlink>
    </w:p>
    <w:p w14:paraId="7ABC93AE" w14:textId="77777777" w:rsidR="00706A43" w:rsidRPr="00706A43" w:rsidRDefault="00706A43" w:rsidP="00706A43">
      <w:pPr>
        <w:pStyle w:val="EndnoteText"/>
        <w:rPr>
          <w:rFonts w:ascii="Calibri" w:hAnsi="Calibri" w:cs="Calibri"/>
        </w:rPr>
      </w:pPr>
    </w:p>
  </w:endnote>
  <w:endnote w:id="5">
    <w:p w14:paraId="2F7A84D4" w14:textId="77777777" w:rsidR="00706A43" w:rsidRPr="00706A43" w:rsidRDefault="00706A43" w:rsidP="00706A43">
      <w:pPr>
        <w:pStyle w:val="EndnoteText"/>
        <w:rPr>
          <w:rFonts w:ascii="Calibri" w:hAnsi="Calibri" w:cs="Calibri"/>
        </w:rPr>
      </w:pPr>
      <w:r w:rsidRPr="00706A43">
        <w:rPr>
          <w:rStyle w:val="EndnoteReference"/>
          <w:rFonts w:ascii="Calibri" w:hAnsi="Calibri" w:cs="Calibri"/>
        </w:rPr>
        <w:endnoteRef/>
      </w:r>
      <w:r w:rsidRPr="00706A43">
        <w:rPr>
          <w:rFonts w:ascii="Calibri" w:hAnsi="Calibri" w:cs="Calibri"/>
        </w:rPr>
        <w:t xml:space="preserve"> Dowell, D., Haegerich, T. and Chou, R., Recommendations and Reports, MMWR, March 18, 2016, </w:t>
      </w:r>
      <w:hyperlink r:id="rId5" w:history="1">
        <w:r w:rsidRPr="00706A43">
          <w:rPr>
            <w:rStyle w:val="Hyperlink"/>
            <w:rFonts w:ascii="Calibri" w:hAnsi="Calibri" w:cs="Calibri"/>
          </w:rPr>
          <w:t>https://www.cdc.gov/mmwr/volumes/65/rr/rr6501e1.htm?CDC_AA_refVal=https%3A%2F%2Fwww.cdc.gov%2Fmmwr%2Fvolumes%2F65%2Frr%2Frr6501e1er.htm</w:t>
        </w:r>
      </w:hyperlink>
    </w:p>
    <w:p w14:paraId="0A46945B" w14:textId="77777777" w:rsidR="00706A43" w:rsidRPr="00706A43" w:rsidRDefault="00706A43" w:rsidP="00706A43">
      <w:pPr>
        <w:pStyle w:val="EndnoteText"/>
        <w:rPr>
          <w:rFonts w:ascii="Calibri" w:hAnsi="Calibri" w:cs="Calibri"/>
        </w:rPr>
      </w:pPr>
    </w:p>
  </w:endnote>
  <w:endnote w:id="6">
    <w:p w14:paraId="50B62AA5" w14:textId="77777777" w:rsidR="00706A43" w:rsidRPr="00706A43" w:rsidRDefault="00706A43" w:rsidP="00706A43">
      <w:pPr>
        <w:pStyle w:val="EndnoteText"/>
        <w:rPr>
          <w:rFonts w:ascii="Calibri" w:hAnsi="Calibri" w:cs="Calibri"/>
        </w:rPr>
      </w:pPr>
      <w:r w:rsidRPr="00706A43">
        <w:rPr>
          <w:rStyle w:val="EndnoteReference"/>
          <w:rFonts w:ascii="Calibri" w:hAnsi="Calibri" w:cs="Calibri"/>
        </w:rPr>
        <w:endnoteRef/>
      </w:r>
      <w:r w:rsidRPr="00706A43">
        <w:rPr>
          <w:rFonts w:ascii="Calibri" w:hAnsi="Calibri" w:cs="Calibri"/>
        </w:rPr>
        <w:t xml:space="preserve"> </w:t>
      </w:r>
      <w:r w:rsidRPr="00706A43">
        <w:rPr>
          <w:rFonts w:ascii="Calibri" w:hAnsi="Calibri" w:cs="Calibri"/>
          <w:i/>
          <w:iCs/>
        </w:rPr>
        <w:t>supra</w:t>
      </w:r>
      <w:r w:rsidRPr="00706A43">
        <w:rPr>
          <w:rFonts w:ascii="Calibri" w:hAnsi="Calibri" w:cs="Calibri"/>
        </w:rPr>
        <w:t xml:space="preserve"> note i.</w:t>
      </w:r>
    </w:p>
    <w:p w14:paraId="778ECFA2" w14:textId="77777777" w:rsidR="00706A43" w:rsidRPr="00706A43" w:rsidRDefault="00706A43" w:rsidP="00706A43">
      <w:pPr>
        <w:pStyle w:val="EndnoteText"/>
        <w:rPr>
          <w:rFonts w:ascii="Calibri" w:hAnsi="Calibri" w:cs="Calibri"/>
        </w:rPr>
      </w:pPr>
    </w:p>
  </w:endnote>
  <w:endnote w:id="7">
    <w:p w14:paraId="3CC075EF" w14:textId="77777777" w:rsidR="00706A43" w:rsidRPr="00706A43" w:rsidRDefault="00706A43" w:rsidP="00706A43">
      <w:pPr>
        <w:pStyle w:val="FootnoteText"/>
        <w:rPr>
          <w:rFonts w:cs="Calibri"/>
        </w:rPr>
      </w:pPr>
      <w:r w:rsidRPr="00706A43">
        <w:rPr>
          <w:rStyle w:val="EndnoteReference"/>
          <w:rFonts w:cs="Calibri"/>
        </w:rPr>
        <w:endnoteRef/>
      </w:r>
      <w:r w:rsidRPr="00706A43">
        <w:rPr>
          <w:rFonts w:cs="Calibri"/>
        </w:rPr>
        <w:t xml:space="preserve"> Not Allowed to Be Compassionate: Chronic Pain, The Overdose Crisis and Unintended Harms in the US, Human Rights Watch Report, December 18, 2018, </w:t>
      </w:r>
      <w:hyperlink r:id="rId6" w:history="1">
        <w:r w:rsidRPr="00706A43">
          <w:rPr>
            <w:rStyle w:val="Hyperlink"/>
            <w:rFonts w:cs="Calibri"/>
          </w:rPr>
          <w:t>https://www.hrw.org/report/2018/12/18/not-allowed-be-compassionate/chronic-pain-overdose-crisis-and-unintended-harms-us</w:t>
        </w:r>
      </w:hyperlink>
    </w:p>
    <w:p w14:paraId="3E7923DF" w14:textId="77777777" w:rsidR="00706A43" w:rsidRPr="00706A43" w:rsidRDefault="00706A43" w:rsidP="00706A43">
      <w:pPr>
        <w:pStyle w:val="EndnoteText"/>
        <w:rPr>
          <w:rFonts w:ascii="Calibri" w:hAnsi="Calibri" w:cs="Calibri"/>
        </w:rPr>
      </w:pPr>
    </w:p>
  </w:endnote>
  <w:endnote w:id="8">
    <w:p w14:paraId="4861F7E1" w14:textId="77777777" w:rsidR="00706A43" w:rsidRPr="00706A43" w:rsidRDefault="00706A43" w:rsidP="00706A43">
      <w:pPr>
        <w:pStyle w:val="FootnoteText"/>
        <w:rPr>
          <w:rFonts w:cs="Calibri"/>
        </w:rPr>
      </w:pPr>
      <w:r w:rsidRPr="00706A43">
        <w:rPr>
          <w:rStyle w:val="EndnoteReference"/>
          <w:rFonts w:cs="Calibri"/>
        </w:rPr>
        <w:endnoteRef/>
      </w:r>
      <w:r w:rsidRPr="00706A43">
        <w:rPr>
          <w:rFonts w:cs="Calibri"/>
        </w:rPr>
        <w:t xml:space="preserve"> Allford, D., Dart, R., DeMicco, J., Kertesz, S., Satel, S., et al., Letter, Health Professionals for Patients In Pain, March 6, 2019. </w:t>
      </w:r>
      <w:hyperlink r:id="rId7" w:history="1">
        <w:r w:rsidRPr="00706A43">
          <w:rPr>
            <w:rStyle w:val="Hyperlink"/>
            <w:rFonts w:cs="Calibri"/>
          </w:rPr>
          <w:t>https://healthprofessionalsforpatientsinpain.org/the-letter-1</w:t>
        </w:r>
      </w:hyperlink>
    </w:p>
    <w:p w14:paraId="716F52B8" w14:textId="77777777" w:rsidR="00706A43" w:rsidRPr="00706A43" w:rsidRDefault="00706A43" w:rsidP="00706A43">
      <w:pPr>
        <w:pStyle w:val="EndnoteText"/>
        <w:rPr>
          <w:rFonts w:ascii="Calibri" w:hAnsi="Calibri" w:cs="Calibri"/>
        </w:rPr>
      </w:pPr>
    </w:p>
  </w:endnote>
  <w:endnote w:id="9">
    <w:p w14:paraId="56C550D5" w14:textId="77777777" w:rsidR="00706A43" w:rsidRPr="00706A43" w:rsidRDefault="00706A43" w:rsidP="00706A43">
      <w:pPr>
        <w:pStyle w:val="FootnoteText"/>
        <w:rPr>
          <w:rFonts w:cs="Calibri"/>
        </w:rPr>
      </w:pPr>
      <w:r w:rsidRPr="00706A43">
        <w:rPr>
          <w:rStyle w:val="EndnoteReference"/>
          <w:rFonts w:cs="Calibri"/>
        </w:rPr>
        <w:endnoteRef/>
      </w:r>
      <w:r w:rsidRPr="00706A43">
        <w:rPr>
          <w:rFonts w:cs="Calibri"/>
        </w:rPr>
        <w:t xml:space="preserve"> Darnall, B., Jurrlink, D., Kerns, R., et al., International Stakeholder Community of Pain Experts and Leaders Call for Urgent Action on Forced Opioid Tapering, Pain,  </w:t>
      </w:r>
      <w:hyperlink r:id="rId8" w:history="1">
        <w:r w:rsidRPr="00706A43">
          <w:rPr>
            <w:rStyle w:val="Hyperlink"/>
            <w:rFonts w:cs="Calibri"/>
          </w:rPr>
          <w:t>https://academic.oup.com/painmedicine/article/20/3/429/5218985</w:t>
        </w:r>
      </w:hyperlink>
    </w:p>
  </w:endnote>
  <w:endnote w:id="10">
    <w:p w14:paraId="6ABADC1C" w14:textId="77777777" w:rsidR="00706A43" w:rsidRPr="00706A43" w:rsidRDefault="00706A43" w:rsidP="00706A43">
      <w:pPr>
        <w:pStyle w:val="NormalWeb"/>
        <w:rPr>
          <w:rFonts w:ascii="Calibri" w:hAnsi="Calibri" w:cs="Calibri"/>
        </w:rPr>
      </w:pPr>
      <w:r w:rsidRPr="00706A43">
        <w:rPr>
          <w:rStyle w:val="EndnoteReference"/>
          <w:rFonts w:ascii="Calibri" w:hAnsi="Calibri" w:cs="Calibri"/>
        </w:rPr>
        <w:endnoteRef/>
      </w:r>
      <w:r w:rsidRPr="00706A43">
        <w:rPr>
          <w:rFonts w:ascii="Calibri" w:hAnsi="Calibri" w:cs="Calibri"/>
        </w:rPr>
        <w:t xml:space="preserve"> Although it is a greater consideration than we once believed, evidence continues to indicate that opioid use disorder and opioid misuse occur in a relatively small minority of patients receiving opioids for chronic pain. See </w:t>
      </w:r>
      <w:r w:rsidRPr="00706A43">
        <w:rPr>
          <w:rFonts w:ascii="Calibri" w:hAnsi="Calibri" w:cs="Calibri"/>
          <w:color w:val="000000"/>
          <w:shd w:val="clear" w:color="auto" w:fill="FFFFFF"/>
        </w:rPr>
        <w:t xml:space="preserve">Edlund M., Martin B., Russo J., DeVries A., Braden J., and Sullivan M., The role of opioid prescription in incident opioid abuse and dependence among individuals with chronic noncancer pain, Clin. J. Pain, </w:t>
      </w:r>
      <w:hyperlink r:id="rId9" w:history="1">
        <w:r w:rsidRPr="00706A43">
          <w:rPr>
            <w:rStyle w:val="Hyperlink"/>
            <w:rFonts w:ascii="Calibri" w:hAnsi="Calibri" w:cs="Calibri"/>
          </w:rPr>
          <w:t>https://www.ncbi.nlm.nih.gov/pubmed/24281273</w:t>
        </w:r>
      </w:hyperlink>
      <w:r w:rsidRPr="00706A43">
        <w:rPr>
          <w:rFonts w:ascii="Calibri" w:hAnsi="Calibri" w:cs="Calibri"/>
          <w:color w:val="000000"/>
          <w:shd w:val="clear" w:color="auto" w:fill="FFFFFF"/>
        </w:rPr>
        <w:t xml:space="preserve">, and Volkow, N., McLellan, A., Opioid Abuse in Chronic Pain – Misconceptions and Mitigation Strategies, New England Jol. </w:t>
      </w:r>
      <w:r w:rsidRPr="00706A43">
        <w:rPr>
          <w:rFonts w:ascii="Calibri" w:hAnsi="Calibri" w:cs="Calibri"/>
          <w:color w:val="000000"/>
        </w:rPr>
        <w:t xml:space="preserve">(2016), </w:t>
      </w:r>
      <w:hyperlink r:id="rId10" w:history="1">
        <w:r w:rsidRPr="00706A43">
          <w:rPr>
            <w:rStyle w:val="Hyperlink"/>
            <w:rFonts w:ascii="Calibri" w:hAnsi="Calibri" w:cs="Calibri"/>
            <w:shd w:val="clear" w:color="auto" w:fill="FFFFFF"/>
          </w:rPr>
          <w:t>https://pdfs.semanticscholar.org/3013/5d7758acf3a0b7ee42da85617a252cbea2ed.pdf</w:t>
        </w:r>
      </w:hyperlink>
      <w:r w:rsidRPr="00706A43">
        <w:rPr>
          <w:rFonts w:ascii="Calibri" w:hAnsi="Calibri" w:cs="Calibri"/>
          <w:color w:val="000000"/>
          <w:shd w:val="clear" w:color="auto" w:fill="FFFFFF"/>
        </w:rPr>
        <w:t>. N</w:t>
      </w:r>
      <w:r w:rsidRPr="00706A43">
        <w:rPr>
          <w:rFonts w:ascii="Calibri" w:hAnsi="Calibri" w:cs="Calibri"/>
        </w:rPr>
        <w:t xml:space="preserve">ational studies on drug and alcohol use suggest that the vast majority of misuse is not by those who were a direct recipient of pain medication from a doctor. See, e.g., Results from the National Survey on Drug Use and Health: Detailed Tables. Retrieved from </w:t>
      </w:r>
      <w:hyperlink r:id="rId11" w:history="1">
        <w:r w:rsidRPr="00706A43">
          <w:rPr>
            <w:rStyle w:val="Hyperlink"/>
            <w:rFonts w:ascii="Calibri" w:hAnsi="Calibri" w:cs="Calibri"/>
          </w:rPr>
          <w:t>https://www.samhsa.gov/data/data-we-collect/nsduh-national-survey-drug-use-and-health</w:t>
        </w:r>
      </w:hyperlink>
    </w:p>
  </w:endnote>
  <w:endnote w:id="11">
    <w:p w14:paraId="1D9B0B1F" w14:textId="77777777" w:rsidR="00706A43" w:rsidRPr="00706A43" w:rsidRDefault="00706A43" w:rsidP="00706A43">
      <w:pPr>
        <w:pStyle w:val="EndnoteText"/>
        <w:rPr>
          <w:rStyle w:val="Hyperlink"/>
          <w:rFonts w:ascii="Calibri" w:hAnsi="Calibri" w:cs="Calibri"/>
        </w:rPr>
      </w:pPr>
      <w:r w:rsidRPr="00706A43">
        <w:rPr>
          <w:rStyle w:val="EndnoteReference"/>
          <w:rFonts w:ascii="Calibri" w:hAnsi="Calibri" w:cs="Calibri"/>
        </w:rPr>
        <w:endnoteRef/>
      </w:r>
      <w:r w:rsidRPr="00706A43">
        <w:rPr>
          <w:rFonts w:ascii="Calibri" w:hAnsi="Calibri" w:cs="Calibri"/>
        </w:rPr>
        <w:t xml:space="preserve"> Sutherland, S., Not All Pain is the Same: Characterizing the Extent of High Impact Pain, Pain Research Forum, (2019), </w:t>
      </w:r>
      <w:hyperlink r:id="rId12" w:history="1">
        <w:r w:rsidRPr="00706A43">
          <w:rPr>
            <w:rStyle w:val="Hyperlink"/>
            <w:rFonts w:ascii="Calibri" w:hAnsi="Calibri" w:cs="Calibri"/>
          </w:rPr>
          <w:t>https://www.painresearchforum.org/news/114939-not-all-pain-same-characterizing-extent-high-impact-chronic-pain</w:t>
        </w:r>
      </w:hyperlink>
    </w:p>
    <w:p w14:paraId="60065BC8" w14:textId="77777777" w:rsidR="00706A43" w:rsidRPr="00706A43" w:rsidRDefault="00706A43" w:rsidP="00706A43">
      <w:pPr>
        <w:pStyle w:val="EndnoteText"/>
        <w:rPr>
          <w:rFonts w:ascii="Calibri" w:hAnsi="Calibri" w:cs="Calibri"/>
        </w:rPr>
      </w:pPr>
    </w:p>
  </w:endnote>
  <w:endnote w:id="12">
    <w:p w14:paraId="6EFBF859" w14:textId="77777777" w:rsidR="00706A43" w:rsidRPr="00706A43" w:rsidRDefault="00706A43" w:rsidP="00706A43">
      <w:pPr>
        <w:pStyle w:val="EndnoteText"/>
        <w:rPr>
          <w:rFonts w:ascii="Calibri" w:hAnsi="Calibri" w:cs="Calibri"/>
        </w:rPr>
      </w:pPr>
      <w:r w:rsidRPr="00706A43">
        <w:rPr>
          <w:rStyle w:val="EndnoteReference"/>
          <w:rFonts w:ascii="Calibri" w:hAnsi="Calibri" w:cs="Calibri"/>
        </w:rPr>
        <w:endnoteRef/>
      </w:r>
      <w:r w:rsidRPr="00706A43">
        <w:rPr>
          <w:rFonts w:ascii="Calibri" w:hAnsi="Calibri" w:cs="Calibri"/>
        </w:rPr>
        <w:t xml:space="preserve"> Dahlhamer, J., Lucas, J., Zelaya, C. et al., Prevalence of Chronic Pain and High Impact Chronic Pain Among Adults - United States, MMWR (2016), </w:t>
      </w:r>
      <w:hyperlink r:id="rId13" w:history="1">
        <w:r w:rsidRPr="00706A43">
          <w:rPr>
            <w:rStyle w:val="Hyperlink"/>
            <w:rFonts w:ascii="Calibri" w:hAnsi="Calibri" w:cs="Calibri"/>
          </w:rPr>
          <w:t>https://www.cdc.gov/mmwr/volumes/67/wr/mm6736a2.htm</w:t>
        </w:r>
      </w:hyperlink>
    </w:p>
    <w:p w14:paraId="53734F5D" w14:textId="77777777" w:rsidR="00706A43" w:rsidRPr="00706A43" w:rsidRDefault="00706A43" w:rsidP="00706A43">
      <w:pPr>
        <w:pStyle w:val="EndnoteText"/>
        <w:rPr>
          <w:rFonts w:ascii="Calibri" w:hAnsi="Calibri" w:cs="Calibri"/>
        </w:rPr>
      </w:pPr>
    </w:p>
  </w:endnote>
  <w:endnote w:id="13">
    <w:p w14:paraId="09B88552" w14:textId="77777777" w:rsidR="00706A43" w:rsidRPr="00706A43" w:rsidRDefault="00706A43" w:rsidP="00706A43">
      <w:pPr>
        <w:pStyle w:val="EndnoteText"/>
        <w:rPr>
          <w:rFonts w:ascii="Calibri" w:hAnsi="Calibri" w:cs="Calibri"/>
        </w:rPr>
      </w:pPr>
      <w:r w:rsidRPr="00706A43">
        <w:rPr>
          <w:rStyle w:val="EndnoteReference"/>
          <w:rFonts w:ascii="Calibri" w:hAnsi="Calibri" w:cs="Calibri"/>
        </w:rPr>
        <w:endnoteRef/>
      </w:r>
      <w:r w:rsidRPr="00706A43">
        <w:rPr>
          <w:rFonts w:ascii="Calibri" w:hAnsi="Calibri" w:cs="Calibri"/>
        </w:rPr>
        <w:t xml:space="preserve"> </w:t>
      </w:r>
      <w:r w:rsidRPr="00706A43">
        <w:rPr>
          <w:rFonts w:ascii="Calibri" w:hAnsi="Calibri" w:cs="Calibri"/>
          <w:i/>
          <w:iCs/>
        </w:rPr>
        <w:t>supra</w:t>
      </w:r>
      <w:r w:rsidRPr="00706A43">
        <w:rPr>
          <w:rFonts w:ascii="Calibri" w:hAnsi="Calibri" w:cs="Calibri"/>
        </w:rPr>
        <w:t xml:space="preserve"> note v.</w:t>
      </w:r>
    </w:p>
    <w:p w14:paraId="06DF48CD" w14:textId="77777777" w:rsidR="00706A43" w:rsidRPr="00706A43" w:rsidRDefault="00706A43" w:rsidP="00706A43">
      <w:pPr>
        <w:pStyle w:val="EndnoteText"/>
        <w:rPr>
          <w:rFonts w:ascii="Calibri" w:hAnsi="Calibri" w:cs="Calibri"/>
        </w:rPr>
      </w:pPr>
    </w:p>
  </w:endnote>
  <w:endnote w:id="14">
    <w:p w14:paraId="3EF881D1" w14:textId="77777777" w:rsidR="00706A43" w:rsidRPr="00706A43" w:rsidRDefault="00706A43" w:rsidP="00706A43">
      <w:pPr>
        <w:pStyle w:val="EndnoteText"/>
        <w:rPr>
          <w:rStyle w:val="Hyperlink"/>
          <w:rFonts w:ascii="Calibri" w:hAnsi="Calibri" w:cs="Calibri"/>
        </w:rPr>
      </w:pPr>
      <w:r w:rsidRPr="00706A43">
        <w:rPr>
          <w:rStyle w:val="EndnoteReference"/>
          <w:rFonts w:ascii="Calibri" w:hAnsi="Calibri" w:cs="Calibri"/>
        </w:rPr>
        <w:endnoteRef/>
      </w:r>
      <w:r w:rsidRPr="00706A43">
        <w:rPr>
          <w:rFonts w:ascii="Calibri" w:hAnsi="Calibri" w:cs="Calibri"/>
        </w:rPr>
        <w:t xml:space="preserve"> FDA Goals for the Committee on Evidence-Based Opioid Prescribing for Acute Pain, National Academies of Science, Engineering and Medicine, February 4, 2019, </w:t>
      </w:r>
      <w:hyperlink r:id="rId14" w:history="1">
        <w:r w:rsidRPr="00706A43">
          <w:rPr>
            <w:rStyle w:val="Hyperlink"/>
            <w:rFonts w:ascii="Calibri" w:hAnsi="Calibri" w:cs="Calibri"/>
          </w:rPr>
          <w:t>http://nationalacademies.org/hmd/~/media/Files/Activity%20Files/MentalHealth/OpioidRxGuidelines/Feb%202019%20workshop/Presentation/Throckmorton.pdf</w:t>
        </w:r>
      </w:hyperlink>
    </w:p>
    <w:p w14:paraId="5E99023F" w14:textId="77777777" w:rsidR="00706A43" w:rsidRPr="00706A43" w:rsidRDefault="00706A43" w:rsidP="00706A43">
      <w:pPr>
        <w:pStyle w:val="EndnoteText"/>
        <w:rPr>
          <w:rFonts w:ascii="Calibri" w:hAnsi="Calibri" w:cs="Calibri"/>
        </w:rPr>
      </w:pPr>
    </w:p>
  </w:endnote>
  <w:endnote w:id="15">
    <w:p w14:paraId="2EF80421" w14:textId="77777777" w:rsidR="00706A43" w:rsidRPr="00706A43" w:rsidRDefault="00706A43" w:rsidP="00706A43">
      <w:pPr>
        <w:pStyle w:val="EndnoteText"/>
        <w:rPr>
          <w:rFonts w:ascii="Calibri" w:hAnsi="Calibri" w:cs="Calibri"/>
        </w:rPr>
      </w:pPr>
      <w:r w:rsidRPr="00706A43">
        <w:rPr>
          <w:rStyle w:val="EndnoteReference"/>
          <w:rFonts w:ascii="Calibri" w:hAnsi="Calibri" w:cs="Calibri"/>
        </w:rPr>
        <w:endnoteRef/>
      </w:r>
      <w:r w:rsidRPr="00706A43">
        <w:rPr>
          <w:rFonts w:ascii="Calibri" w:hAnsi="Calibri" w:cs="Calibri"/>
        </w:rPr>
        <w:t xml:space="preserve"> </w:t>
      </w:r>
      <w:r w:rsidRPr="00706A43">
        <w:rPr>
          <w:rFonts w:ascii="Calibri" w:hAnsi="Calibri" w:cs="Calibri"/>
          <w:i/>
          <w:iCs/>
        </w:rPr>
        <w:t>supra</w:t>
      </w:r>
      <w:r w:rsidRPr="00706A43">
        <w:rPr>
          <w:rFonts w:ascii="Calibri" w:hAnsi="Calibri" w:cs="Calibri"/>
        </w:rPr>
        <w:t xml:space="preserve"> note v.</w:t>
      </w:r>
    </w:p>
    <w:p w14:paraId="7BC32646" w14:textId="77777777" w:rsidR="00706A43" w:rsidRPr="00706A43" w:rsidRDefault="00706A43" w:rsidP="00706A43">
      <w:pPr>
        <w:pStyle w:val="EndnoteText"/>
        <w:rPr>
          <w:rFonts w:ascii="Calibri" w:hAnsi="Calibri" w:cs="Calibri"/>
        </w:rPr>
      </w:pPr>
    </w:p>
  </w:endnote>
  <w:endnote w:id="16">
    <w:p w14:paraId="08A045CB" w14:textId="77777777" w:rsidR="00706A43" w:rsidRPr="00706A43" w:rsidRDefault="00706A43" w:rsidP="00706A43">
      <w:pPr>
        <w:pStyle w:val="EndnoteText"/>
        <w:rPr>
          <w:rFonts w:ascii="Calibri" w:hAnsi="Calibri" w:cs="Calibri"/>
        </w:rPr>
      </w:pPr>
      <w:r w:rsidRPr="00706A43">
        <w:rPr>
          <w:rStyle w:val="EndnoteReference"/>
          <w:rFonts w:ascii="Calibri" w:hAnsi="Calibri" w:cs="Calibri"/>
        </w:rPr>
        <w:endnoteRef/>
      </w:r>
      <w:r w:rsidRPr="00706A43">
        <w:rPr>
          <w:rFonts w:ascii="Calibri" w:hAnsi="Calibri" w:cs="Calibri"/>
        </w:rPr>
        <w:t xml:space="preserve"> </w:t>
      </w:r>
      <w:r w:rsidRPr="00706A43">
        <w:rPr>
          <w:rFonts w:ascii="Calibri" w:hAnsi="Calibri" w:cs="Calibri"/>
          <w:i/>
          <w:iCs/>
        </w:rPr>
        <w:t>supra</w:t>
      </w:r>
      <w:r w:rsidRPr="00706A43">
        <w:rPr>
          <w:rFonts w:ascii="Calibri" w:hAnsi="Calibri" w:cs="Calibri"/>
        </w:rPr>
        <w:t xml:space="preserve"> note i.</w:t>
      </w:r>
    </w:p>
    <w:p w14:paraId="07A221B1" w14:textId="77777777" w:rsidR="00706A43" w:rsidRPr="00706A43" w:rsidRDefault="00706A43" w:rsidP="00706A43">
      <w:pPr>
        <w:pStyle w:val="EndnoteText"/>
        <w:rPr>
          <w:rFonts w:ascii="Calibri" w:hAnsi="Calibri" w:cs="Calibri"/>
        </w:rPr>
      </w:pPr>
    </w:p>
  </w:endnote>
  <w:endnote w:id="17">
    <w:p w14:paraId="71F32577" w14:textId="77777777" w:rsidR="00706A43" w:rsidRPr="00706A43" w:rsidRDefault="00706A43" w:rsidP="00706A43">
      <w:pPr>
        <w:pStyle w:val="EndnoteText"/>
        <w:rPr>
          <w:rStyle w:val="Hyperlink"/>
          <w:rFonts w:ascii="Calibri" w:hAnsi="Calibri" w:cs="Calibri"/>
        </w:rPr>
      </w:pPr>
      <w:r w:rsidRPr="00706A43">
        <w:rPr>
          <w:rStyle w:val="EndnoteReference"/>
          <w:rFonts w:ascii="Calibri" w:hAnsi="Calibri" w:cs="Calibri"/>
        </w:rPr>
        <w:endnoteRef/>
      </w:r>
      <w:r w:rsidRPr="00706A43">
        <w:rPr>
          <w:rFonts w:ascii="Calibri" w:hAnsi="Calibri" w:cs="Calibri"/>
        </w:rPr>
        <w:t xml:space="preserve"> Letter from CDC Director Robert R. Redfield to Daniel P. Alford, April 10, 2019, </w:t>
      </w:r>
      <w:hyperlink r:id="rId15" w:history="1">
        <w:r w:rsidRPr="00706A43">
          <w:rPr>
            <w:rStyle w:val="Hyperlink"/>
            <w:rFonts w:ascii="Calibri" w:hAnsi="Calibri" w:cs="Calibri"/>
          </w:rPr>
          <w:t>https://img1.wsimg.com/blobby/go/3d70257f-a143-4a5b-b9df-f7d265df0d3d/downloads/Alford%20Final%20.pdf?ver=1556148791199</w:t>
        </w:r>
      </w:hyperlink>
    </w:p>
    <w:p w14:paraId="17F13FD8" w14:textId="77777777" w:rsidR="00706A43" w:rsidRPr="00706A43" w:rsidRDefault="00706A43" w:rsidP="00706A43">
      <w:pPr>
        <w:pStyle w:val="EndnoteText"/>
        <w:rPr>
          <w:rFonts w:ascii="Calibri" w:hAnsi="Calibri" w:cs="Calibri"/>
        </w:rPr>
      </w:pPr>
    </w:p>
  </w:endnote>
  <w:endnote w:id="18">
    <w:p w14:paraId="1D2AED74" w14:textId="77777777" w:rsidR="00706A43" w:rsidRPr="00074149" w:rsidRDefault="00706A43" w:rsidP="00706A43">
      <w:pPr>
        <w:pStyle w:val="EndnoteText"/>
        <w:rPr>
          <w:rFonts w:ascii="Calibri" w:hAnsi="Calibri" w:cs="Calibri"/>
          <w:lang w:val="es-US"/>
        </w:rPr>
      </w:pPr>
      <w:r w:rsidRPr="00706A43">
        <w:rPr>
          <w:rStyle w:val="EndnoteReference"/>
          <w:rFonts w:ascii="Calibri" w:hAnsi="Calibri" w:cs="Calibri"/>
        </w:rPr>
        <w:endnoteRef/>
      </w:r>
      <w:r w:rsidRPr="00074149">
        <w:rPr>
          <w:rFonts w:ascii="Calibri" w:hAnsi="Calibri" w:cs="Calibri"/>
          <w:lang w:val="es-US"/>
        </w:rPr>
        <w:t xml:space="preserve"> </w:t>
      </w:r>
      <w:r w:rsidRPr="00074149">
        <w:rPr>
          <w:rFonts w:ascii="Calibri" w:hAnsi="Calibri" w:cs="Calibri"/>
          <w:i/>
          <w:iCs/>
          <w:lang w:val="es-US"/>
        </w:rPr>
        <w:t>supra</w:t>
      </w:r>
      <w:r w:rsidRPr="00074149">
        <w:rPr>
          <w:rFonts w:ascii="Calibri" w:hAnsi="Calibri" w:cs="Calibri"/>
          <w:lang w:val="es-US"/>
        </w:rPr>
        <w:t xml:space="preserve">  note iii.</w:t>
      </w:r>
    </w:p>
    <w:p w14:paraId="12E44686" w14:textId="77777777" w:rsidR="00706A43" w:rsidRPr="00074149" w:rsidRDefault="00706A43" w:rsidP="00706A43">
      <w:pPr>
        <w:pStyle w:val="EndnoteText"/>
        <w:rPr>
          <w:rFonts w:ascii="Calibri" w:hAnsi="Calibri" w:cs="Calibri"/>
          <w:lang w:val="es-US"/>
        </w:rPr>
      </w:pPr>
    </w:p>
  </w:endnote>
  <w:endnote w:id="19">
    <w:p w14:paraId="5A722BD0" w14:textId="77777777" w:rsidR="00706A43" w:rsidRPr="00074149" w:rsidRDefault="00706A43" w:rsidP="00706A43">
      <w:pPr>
        <w:pStyle w:val="FootnoteText"/>
        <w:rPr>
          <w:rStyle w:val="Hyperlink"/>
          <w:rFonts w:cs="Calibri"/>
          <w:lang w:val="es-US"/>
        </w:rPr>
      </w:pPr>
      <w:r w:rsidRPr="00706A43">
        <w:rPr>
          <w:rStyle w:val="EndnoteReference"/>
          <w:rFonts w:cs="Calibri"/>
        </w:rPr>
        <w:endnoteRef/>
      </w:r>
      <w:r w:rsidRPr="00074149">
        <w:rPr>
          <w:rFonts w:cs="Calibri"/>
          <w:lang w:val="es-US"/>
        </w:rPr>
        <w:t xml:space="preserve"> Appriss NarxCare documentation, </w:t>
      </w:r>
      <w:hyperlink r:id="rId16" w:history="1">
        <w:r w:rsidRPr="00074149">
          <w:rPr>
            <w:rStyle w:val="Hyperlink"/>
            <w:rFonts w:cs="Calibri"/>
            <w:lang w:val="es-US"/>
          </w:rPr>
          <w:t>https://northcarolina.pmpaware.net/narx-content/content/narxcare2/explain-overdose-risk-score.pdf</w:t>
        </w:r>
      </w:hyperlink>
    </w:p>
    <w:p w14:paraId="6907C00C" w14:textId="77777777" w:rsidR="00706A43" w:rsidRPr="00074149" w:rsidRDefault="00706A43" w:rsidP="00706A43">
      <w:pPr>
        <w:pStyle w:val="EndnoteText"/>
        <w:rPr>
          <w:rFonts w:ascii="Calibri" w:hAnsi="Calibri" w:cs="Calibri"/>
          <w:lang w:val="es-US"/>
        </w:rPr>
      </w:pPr>
    </w:p>
  </w:endnote>
  <w:endnote w:id="20">
    <w:p w14:paraId="695F855E" w14:textId="77777777" w:rsidR="00706A43" w:rsidRPr="00074149" w:rsidRDefault="00706A43" w:rsidP="00706A43">
      <w:pPr>
        <w:pStyle w:val="EndnoteText"/>
        <w:rPr>
          <w:rFonts w:ascii="Calibri" w:hAnsi="Calibri" w:cs="Calibri"/>
          <w:lang w:val="es-US"/>
        </w:rPr>
      </w:pPr>
      <w:r w:rsidRPr="00706A43">
        <w:rPr>
          <w:rStyle w:val="EndnoteReference"/>
          <w:rFonts w:ascii="Calibri" w:hAnsi="Calibri" w:cs="Calibri"/>
        </w:rPr>
        <w:endnoteRef/>
      </w:r>
      <w:r w:rsidRPr="00074149">
        <w:rPr>
          <w:rFonts w:ascii="Calibri" w:hAnsi="Calibri" w:cs="Calibri"/>
          <w:lang w:val="es-US"/>
        </w:rPr>
        <w:t xml:space="preserve"> </w:t>
      </w:r>
      <w:r w:rsidRPr="00074149">
        <w:rPr>
          <w:rFonts w:ascii="Calibri" w:hAnsi="Calibri" w:cs="Calibri"/>
          <w:i/>
          <w:iCs/>
          <w:lang w:val="es-US"/>
        </w:rPr>
        <w:t>supra</w:t>
      </w:r>
      <w:r w:rsidRPr="00074149">
        <w:rPr>
          <w:rFonts w:ascii="Calibri" w:hAnsi="Calibri" w:cs="Calibri"/>
          <w:lang w:val="es-US"/>
        </w:rPr>
        <w:t xml:space="preserve"> note vii.</w:t>
      </w:r>
    </w:p>
    <w:p w14:paraId="108C4E67" w14:textId="77777777" w:rsidR="00706A43" w:rsidRPr="00074149" w:rsidRDefault="00706A43" w:rsidP="00706A43">
      <w:pPr>
        <w:pStyle w:val="EndnoteText"/>
        <w:rPr>
          <w:rFonts w:ascii="Calibri" w:hAnsi="Calibri" w:cs="Calibri"/>
          <w:lang w:val="es-US"/>
        </w:rPr>
      </w:pPr>
    </w:p>
  </w:endnote>
  <w:endnote w:id="21">
    <w:p w14:paraId="71A8846E" w14:textId="77777777" w:rsidR="00706A43" w:rsidRPr="00706A43" w:rsidRDefault="00706A43" w:rsidP="00706A43">
      <w:pPr>
        <w:pStyle w:val="FootnoteText"/>
        <w:rPr>
          <w:rFonts w:cs="Calibri"/>
        </w:rPr>
      </w:pPr>
      <w:r w:rsidRPr="00706A43">
        <w:rPr>
          <w:rStyle w:val="EndnoteReference"/>
          <w:rFonts w:cs="Calibri"/>
        </w:rPr>
        <w:endnoteRef/>
      </w:r>
      <w:r w:rsidRPr="00706A43">
        <w:rPr>
          <w:rFonts w:cs="Calibri"/>
        </w:rPr>
        <w:t xml:space="preserve"> Dowell, D. &amp; Haegerich, T., Changing the Conversation About Opioid Tapering. </w:t>
      </w:r>
      <w:r w:rsidRPr="00706A43">
        <w:rPr>
          <w:rFonts w:cs="Calibri"/>
          <w:iCs/>
        </w:rPr>
        <w:t>Ann Intern Med</w:t>
      </w:r>
      <w:r w:rsidRPr="00706A43">
        <w:rPr>
          <w:rFonts w:cs="Calibri"/>
          <w:i/>
        </w:rPr>
        <w:t xml:space="preserve"> (2017)</w:t>
      </w:r>
      <w:r w:rsidRPr="00706A43">
        <w:rPr>
          <w:rFonts w:cs="Calibri"/>
        </w:rPr>
        <w:t xml:space="preserve">, </w:t>
      </w:r>
      <w:hyperlink r:id="rId17" w:history="1">
        <w:r w:rsidRPr="00706A43">
          <w:rPr>
            <w:rStyle w:val="Hyperlink"/>
            <w:rFonts w:cs="Calibri"/>
          </w:rPr>
          <w:t>https://www.ncbi.nlm.nih.gov/pubmed/28715842</w:t>
        </w:r>
      </w:hyperlink>
      <w:r w:rsidRPr="00706A43">
        <w:rPr>
          <w:rFonts w:cs="Calibri"/>
        </w:rPr>
        <w:t xml:space="preserve"> </w:t>
      </w:r>
    </w:p>
    <w:p w14:paraId="68ED66F2" w14:textId="77777777" w:rsidR="00706A43" w:rsidRPr="00706A43" w:rsidRDefault="00706A43" w:rsidP="00706A43">
      <w:pPr>
        <w:pStyle w:val="FootnoteText"/>
        <w:rPr>
          <w:rFonts w:cs="Calibri"/>
        </w:rPr>
      </w:pPr>
    </w:p>
  </w:endnote>
  <w:endnote w:id="22">
    <w:p w14:paraId="76933CD5" w14:textId="77777777" w:rsidR="00706A43" w:rsidRPr="00706A43" w:rsidRDefault="00706A43" w:rsidP="00706A43">
      <w:pPr>
        <w:pStyle w:val="FootnoteText"/>
        <w:rPr>
          <w:rFonts w:cs="Calibri"/>
        </w:rPr>
      </w:pPr>
      <w:r w:rsidRPr="00706A43">
        <w:rPr>
          <w:rStyle w:val="EndnoteReference"/>
          <w:rFonts w:cs="Calibri"/>
        </w:rPr>
        <w:endnoteRef/>
      </w:r>
      <w:r w:rsidRPr="00706A43">
        <w:rPr>
          <w:rFonts w:cs="Calibri"/>
        </w:rPr>
        <w:t xml:space="preserve"> Glanz J., Binswanger I., Shetterly S., Narwaney K, Xu S, Association Between Opioid Dose Variability and Opioid Overdose Among Adults Prescribed Long-term Opioid Therapy, </w:t>
      </w:r>
      <w:r w:rsidRPr="00706A43">
        <w:rPr>
          <w:rStyle w:val="Emphasis"/>
          <w:rFonts w:cs="Calibri"/>
          <w:b w:val="0"/>
        </w:rPr>
        <w:t>JAMA Netw Open</w:t>
      </w:r>
      <w:r w:rsidRPr="00706A43">
        <w:rPr>
          <w:rStyle w:val="Emphasis"/>
          <w:rFonts w:cs="Calibri"/>
        </w:rPr>
        <w:t>.</w:t>
      </w:r>
      <w:r w:rsidRPr="00706A43">
        <w:rPr>
          <w:rFonts w:cs="Calibri"/>
        </w:rPr>
        <w:t xml:space="preserve"> (2019), </w:t>
      </w:r>
      <w:hyperlink r:id="rId18" w:history="1">
        <w:r w:rsidRPr="00706A43">
          <w:rPr>
            <w:rStyle w:val="Hyperlink"/>
            <w:rFonts w:cs="Calibri"/>
          </w:rPr>
          <w:t>https://www.ncbi.nlm.nih.gov/pubmed/31002325</w:t>
        </w:r>
      </w:hyperlink>
    </w:p>
    <w:p w14:paraId="0991BF4D" w14:textId="77777777" w:rsidR="00706A43" w:rsidRPr="00706A43" w:rsidRDefault="00706A43" w:rsidP="00706A43">
      <w:pPr>
        <w:pStyle w:val="EndnoteText"/>
        <w:rPr>
          <w:rFonts w:ascii="Calibri" w:hAnsi="Calibri" w:cs="Calibri"/>
        </w:rPr>
      </w:pPr>
    </w:p>
  </w:endnote>
  <w:endnote w:id="23">
    <w:p w14:paraId="3764B3A2" w14:textId="77777777" w:rsidR="00706A43" w:rsidRPr="00706A43" w:rsidRDefault="00706A43" w:rsidP="00706A43">
      <w:pPr>
        <w:rPr>
          <w:rFonts w:cs="Calibri"/>
          <w:color w:val="0563C1"/>
          <w:sz w:val="20"/>
          <w:szCs w:val="20"/>
          <w:u w:val="single"/>
        </w:rPr>
      </w:pPr>
      <w:r w:rsidRPr="00706A43">
        <w:rPr>
          <w:rStyle w:val="EndnoteReference"/>
          <w:rFonts w:cs="Calibri"/>
          <w:sz w:val="20"/>
          <w:szCs w:val="20"/>
        </w:rPr>
        <w:endnoteRef/>
      </w:r>
      <w:r w:rsidRPr="00706A43">
        <w:rPr>
          <w:rFonts w:cs="Calibri"/>
          <w:sz w:val="20"/>
          <w:szCs w:val="20"/>
        </w:rPr>
        <w:t xml:space="preserve"> Mark, T., Parish, W., Opioid Medication Discontinuation and Risk of Adverse Opioid-Related Health Events, J Subst Abuse Treat., (2019), </w:t>
      </w:r>
      <w:r w:rsidRPr="00706A43">
        <w:rPr>
          <w:rStyle w:val="Hyperlink"/>
          <w:rFonts w:cs="Calibri"/>
          <w:sz w:val="20"/>
          <w:szCs w:val="20"/>
        </w:rPr>
        <w:t>https://www.ncbi.nlm.nih.gov/pubmed/31079950</w:t>
      </w:r>
    </w:p>
    <w:p w14:paraId="2D4C0C58" w14:textId="77777777" w:rsidR="00706A43" w:rsidRPr="00706A43" w:rsidRDefault="00706A43" w:rsidP="00706A43">
      <w:pPr>
        <w:rPr>
          <w:rFonts w:cs="Calibri"/>
          <w:sz w:val="20"/>
          <w:szCs w:val="20"/>
        </w:rPr>
      </w:pPr>
    </w:p>
  </w:endnote>
  <w:endnote w:id="24">
    <w:p w14:paraId="5982522D" w14:textId="77777777" w:rsidR="00706A43" w:rsidRPr="00074149" w:rsidRDefault="00706A43" w:rsidP="00706A43">
      <w:pPr>
        <w:pStyle w:val="EndnoteText"/>
        <w:rPr>
          <w:rFonts w:ascii="Calibri" w:hAnsi="Calibri" w:cs="Calibri"/>
          <w:lang w:val="es-US"/>
        </w:rPr>
      </w:pPr>
      <w:r w:rsidRPr="00706A43">
        <w:rPr>
          <w:rStyle w:val="EndnoteReference"/>
          <w:rFonts w:ascii="Calibri" w:hAnsi="Calibri" w:cs="Calibri"/>
        </w:rPr>
        <w:endnoteRef/>
      </w:r>
      <w:r w:rsidRPr="00074149">
        <w:rPr>
          <w:rFonts w:ascii="Calibri" w:hAnsi="Calibri" w:cs="Calibri"/>
          <w:lang w:val="es-US"/>
        </w:rPr>
        <w:t xml:space="preserve"> </w:t>
      </w:r>
      <w:r w:rsidRPr="00074149">
        <w:rPr>
          <w:rFonts w:ascii="Calibri" w:hAnsi="Calibri" w:cs="Calibri"/>
          <w:i/>
          <w:iCs/>
          <w:lang w:val="es-US"/>
        </w:rPr>
        <w:t>supra</w:t>
      </w:r>
      <w:r w:rsidRPr="00074149">
        <w:rPr>
          <w:rFonts w:ascii="Calibri" w:hAnsi="Calibri" w:cs="Calibri"/>
          <w:lang w:val="es-US"/>
        </w:rPr>
        <w:t xml:space="preserve"> note ii.</w:t>
      </w:r>
    </w:p>
    <w:p w14:paraId="779769C0" w14:textId="77777777" w:rsidR="00706A43" w:rsidRPr="00074149" w:rsidRDefault="00706A43" w:rsidP="00706A43">
      <w:pPr>
        <w:pStyle w:val="EndnoteText"/>
        <w:rPr>
          <w:rFonts w:ascii="Calibri" w:hAnsi="Calibri" w:cs="Calibri"/>
          <w:lang w:val="es-US"/>
        </w:rPr>
      </w:pPr>
    </w:p>
  </w:endnote>
  <w:endnote w:id="25">
    <w:p w14:paraId="06C0F00D" w14:textId="77777777" w:rsidR="00706A43" w:rsidRPr="00074149" w:rsidRDefault="00706A43" w:rsidP="00706A43">
      <w:pPr>
        <w:pStyle w:val="EndnoteText"/>
        <w:rPr>
          <w:rFonts w:ascii="Calibri" w:hAnsi="Calibri" w:cs="Calibri"/>
          <w:lang w:val="es-US"/>
        </w:rPr>
      </w:pPr>
      <w:r w:rsidRPr="00706A43">
        <w:rPr>
          <w:rStyle w:val="EndnoteReference"/>
          <w:rFonts w:ascii="Calibri" w:hAnsi="Calibri" w:cs="Calibri"/>
          <w:iCs/>
        </w:rPr>
        <w:endnoteRef/>
      </w:r>
      <w:r w:rsidRPr="00074149">
        <w:rPr>
          <w:rFonts w:ascii="Calibri" w:hAnsi="Calibri" w:cs="Calibri"/>
          <w:lang w:val="es-US"/>
        </w:rPr>
        <w:t xml:space="preserve"> </w:t>
      </w:r>
      <w:r w:rsidRPr="00074149">
        <w:rPr>
          <w:rFonts w:ascii="Calibri" w:hAnsi="Calibri" w:cs="Calibri"/>
          <w:i/>
          <w:iCs/>
          <w:lang w:val="es-US"/>
        </w:rPr>
        <w:t>supra</w:t>
      </w:r>
      <w:r w:rsidRPr="00074149">
        <w:rPr>
          <w:rFonts w:ascii="Calibri" w:hAnsi="Calibri" w:cs="Calibri"/>
          <w:lang w:val="es-US"/>
        </w:rPr>
        <w:t xml:space="preserve"> note xix.</w:t>
      </w:r>
    </w:p>
    <w:p w14:paraId="32C5DB98" w14:textId="77777777" w:rsidR="00706A43" w:rsidRPr="00074149" w:rsidRDefault="00706A43" w:rsidP="00706A43">
      <w:pPr>
        <w:pStyle w:val="EndnoteText"/>
        <w:rPr>
          <w:rFonts w:ascii="Calibri" w:hAnsi="Calibri" w:cs="Calibri"/>
          <w:lang w:val="es-US"/>
        </w:rPr>
      </w:pPr>
    </w:p>
  </w:endnote>
  <w:endnote w:id="26">
    <w:p w14:paraId="6B862AE3" w14:textId="77777777" w:rsidR="00706A43" w:rsidRPr="00706A43" w:rsidRDefault="00706A43" w:rsidP="00706A43">
      <w:pPr>
        <w:pStyle w:val="EndnoteText"/>
        <w:rPr>
          <w:rFonts w:ascii="Calibri" w:hAnsi="Calibri" w:cs="Calibri"/>
        </w:rPr>
      </w:pPr>
      <w:r w:rsidRPr="00706A43">
        <w:rPr>
          <w:rStyle w:val="EndnoteReference"/>
          <w:rFonts w:ascii="Calibri" w:hAnsi="Calibri" w:cs="Calibri"/>
        </w:rPr>
        <w:endnoteRef/>
      </w:r>
      <w:r w:rsidRPr="00706A43">
        <w:rPr>
          <w:rFonts w:ascii="Calibri" w:hAnsi="Calibri" w:cs="Calibri"/>
        </w:rPr>
        <w:t xml:space="preserve"> Inserro, A., Oncologists, Hematologists Welcome CDC Clarification on Opioid Therapy for Chronic Pain, </w:t>
      </w:r>
      <w:r w:rsidRPr="00706A43">
        <w:rPr>
          <w:rStyle w:val="Hyperlink"/>
          <w:rFonts w:ascii="Calibri" w:hAnsi="Calibri" w:cs="Calibri"/>
        </w:rPr>
        <w:t>https://www.ajmc.com/newsroom/oncologists-hematologists-welcome-cdc-clarification-on-opioid-therapy-for-chronic-pain</w:t>
      </w:r>
    </w:p>
    <w:p w14:paraId="15282A0C" w14:textId="77777777" w:rsidR="00706A43" w:rsidRPr="00706A43" w:rsidRDefault="00706A43" w:rsidP="00706A43">
      <w:pPr>
        <w:pStyle w:val="EndnoteText"/>
        <w:rPr>
          <w:rFonts w:ascii="Calibri" w:hAnsi="Calibri" w:cs="Calibri"/>
        </w:rPr>
      </w:pPr>
    </w:p>
  </w:endnote>
  <w:endnote w:id="27">
    <w:p w14:paraId="40E1D145" w14:textId="77777777" w:rsidR="00706A43" w:rsidRPr="00706A43" w:rsidRDefault="00706A43" w:rsidP="00706A43">
      <w:pPr>
        <w:pStyle w:val="EndnoteText"/>
        <w:rPr>
          <w:rFonts w:ascii="Calibri" w:hAnsi="Calibri" w:cs="Calibri"/>
          <w:i/>
          <w:iCs/>
        </w:rPr>
      </w:pPr>
      <w:r w:rsidRPr="00706A43">
        <w:rPr>
          <w:rStyle w:val="EndnoteReference"/>
          <w:rFonts w:ascii="Calibri" w:hAnsi="Calibri" w:cs="Calibri"/>
        </w:rPr>
        <w:endnoteRef/>
      </w:r>
      <w:r w:rsidRPr="00706A43">
        <w:rPr>
          <w:rFonts w:ascii="Calibri" w:hAnsi="Calibri" w:cs="Calibri"/>
        </w:rPr>
        <w:t xml:space="preserve"> </w:t>
      </w:r>
      <w:r w:rsidRPr="00706A43">
        <w:rPr>
          <w:rFonts w:ascii="Calibri" w:hAnsi="Calibri" w:cs="Calibri"/>
          <w:i/>
          <w:iCs/>
        </w:rPr>
        <w:t>Id.</w:t>
      </w:r>
    </w:p>
    <w:p w14:paraId="322625C6" w14:textId="77777777" w:rsidR="00706A43" w:rsidRPr="00706A43" w:rsidRDefault="00706A43" w:rsidP="00706A43">
      <w:pPr>
        <w:pStyle w:val="EndnoteText"/>
        <w:rPr>
          <w:rFonts w:ascii="Calibri" w:hAnsi="Calibri" w:cs="Calibri"/>
        </w:rPr>
      </w:pPr>
    </w:p>
  </w:endnote>
  <w:endnote w:id="28">
    <w:p w14:paraId="7C83F15F" w14:textId="77777777" w:rsidR="00706A43" w:rsidRPr="00706A43" w:rsidRDefault="00706A43" w:rsidP="00706A43">
      <w:pPr>
        <w:pStyle w:val="EndnoteText"/>
        <w:rPr>
          <w:rFonts w:ascii="Calibri" w:hAnsi="Calibri" w:cs="Calibri"/>
        </w:rPr>
      </w:pPr>
      <w:r w:rsidRPr="00706A43">
        <w:rPr>
          <w:rStyle w:val="EndnoteReference"/>
          <w:rFonts w:ascii="Calibri" w:hAnsi="Calibri" w:cs="Calibri"/>
        </w:rPr>
        <w:endnoteRef/>
      </w:r>
      <w:r w:rsidRPr="00706A43">
        <w:rPr>
          <w:rFonts w:ascii="Calibri" w:hAnsi="Calibri" w:cs="Calibri"/>
        </w:rPr>
        <w:t xml:space="preserve"> FDA, Quantities of Opioid Analgesics Dispensed from Retail Pharmacies Approach Lowest Levels in 15 years, August 30, 2018, </w:t>
      </w:r>
      <w:hyperlink r:id="rId19" w:history="1">
        <w:r w:rsidRPr="00706A43">
          <w:rPr>
            <w:rStyle w:val="Hyperlink"/>
            <w:rFonts w:ascii="Calibri" w:hAnsi="Calibri" w:cs="Calibri"/>
          </w:rPr>
          <w:t>https://www.fda.gov/about-fda/reports/quantities-opioid-analgesics-dispensed-retail-pharmacies-approach-lowest-levels-15-years</w:t>
        </w:r>
      </w:hyperlink>
    </w:p>
    <w:p w14:paraId="6CCFBE8C" w14:textId="77777777" w:rsidR="00706A43" w:rsidRPr="00706A43" w:rsidRDefault="00706A43" w:rsidP="00706A43">
      <w:pPr>
        <w:pStyle w:val="EndnoteText"/>
        <w:rPr>
          <w:rFonts w:ascii="Calibri" w:hAnsi="Calibri" w:cs="Calibri"/>
        </w:rPr>
      </w:pPr>
    </w:p>
  </w:endnote>
  <w:endnote w:id="29">
    <w:p w14:paraId="78CDF692" w14:textId="77777777" w:rsidR="00706A43" w:rsidRPr="00706A43" w:rsidRDefault="00706A43" w:rsidP="00706A43">
      <w:pPr>
        <w:rPr>
          <w:rFonts w:cs="Calibri"/>
          <w:sz w:val="20"/>
          <w:szCs w:val="20"/>
        </w:rPr>
      </w:pPr>
      <w:r w:rsidRPr="00706A43">
        <w:rPr>
          <w:rStyle w:val="EndnoteReference"/>
          <w:rFonts w:cs="Calibri"/>
          <w:sz w:val="20"/>
          <w:szCs w:val="20"/>
        </w:rPr>
        <w:endnoteRef/>
      </w:r>
      <w:r w:rsidRPr="00706A43">
        <w:rPr>
          <w:rFonts w:cs="Calibri"/>
          <w:sz w:val="20"/>
          <w:szCs w:val="20"/>
        </w:rPr>
        <w:t xml:space="preserve"> Zhu, W., Chernew, M., Sherry, T., and Maestas, M, Initial Opioid Prescriptions Among US Insured Patients, 2012-17, N Engl J Med (2019),</w:t>
      </w:r>
    </w:p>
    <w:p w14:paraId="107926AB" w14:textId="77777777" w:rsidR="00706A43" w:rsidRPr="00706A43" w:rsidRDefault="00706A43" w:rsidP="00706A43">
      <w:pPr>
        <w:pStyle w:val="EndnoteText"/>
        <w:rPr>
          <w:rFonts w:ascii="Calibri" w:hAnsi="Calibri" w:cs="Calibri"/>
          <w:color w:val="0563C1"/>
          <w:u w:val="single"/>
        </w:rPr>
      </w:pPr>
      <w:r w:rsidRPr="00706A43">
        <w:rPr>
          <w:rStyle w:val="Hyperlink"/>
          <w:rFonts w:ascii="Calibri" w:hAnsi="Calibri" w:cs="Calibri"/>
        </w:rPr>
        <w:t>https://www.nejm.org/doi/full/10.1056/NEJMsa1807069</w:t>
      </w:r>
    </w:p>
    <w:p w14:paraId="12CD29B1" w14:textId="77777777" w:rsidR="00706A43" w:rsidRPr="00706A43" w:rsidRDefault="00706A43" w:rsidP="00706A43">
      <w:pPr>
        <w:pStyle w:val="EndnoteText"/>
        <w:rPr>
          <w:rFonts w:ascii="Calibri" w:hAnsi="Calibri" w:cs="Calibri"/>
        </w:rPr>
      </w:pPr>
    </w:p>
  </w:endnote>
  <w:endnote w:id="30">
    <w:p w14:paraId="63C52E49" w14:textId="77777777" w:rsidR="00706A43" w:rsidRPr="00706A43" w:rsidRDefault="00706A43" w:rsidP="00706A43">
      <w:pPr>
        <w:pStyle w:val="FootnoteText"/>
        <w:rPr>
          <w:rFonts w:cs="Calibri"/>
          <w:color w:val="0563C1"/>
          <w:u w:val="single"/>
        </w:rPr>
      </w:pPr>
      <w:r w:rsidRPr="00706A43">
        <w:rPr>
          <w:rStyle w:val="EndnoteReference"/>
          <w:rFonts w:cs="Calibri"/>
        </w:rPr>
        <w:endnoteRef/>
      </w:r>
      <w:r w:rsidRPr="00706A43">
        <w:rPr>
          <w:rFonts w:cs="Calibri"/>
        </w:rPr>
        <w:t xml:space="preserve"> National Pain Strategy Overview, Interagency Pain Research Coordinating Committee, May 11, 2017, </w:t>
      </w:r>
      <w:r w:rsidRPr="00706A43">
        <w:rPr>
          <w:rStyle w:val="Hyperlink"/>
          <w:rFonts w:cs="Calibri"/>
        </w:rPr>
        <w:t>https://www.iprcc.nih.gov/National-Pain-Strategy/Overview</w:t>
      </w:r>
    </w:p>
    <w:p w14:paraId="1E8D8F32" w14:textId="77777777" w:rsidR="00706A43" w:rsidRPr="00706A43" w:rsidRDefault="00706A43" w:rsidP="00706A43">
      <w:pPr>
        <w:pStyle w:val="EndnoteText"/>
        <w:rPr>
          <w:rFonts w:ascii="Calibri" w:hAnsi="Calibri" w:cs="Calibri"/>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auto"/>
    <w:pitch w:val="variable"/>
    <w:sig w:usb0="E00002FF" w:usb1="5000205A"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B697A8" w14:textId="77777777" w:rsidR="00400739" w:rsidRDefault="00400739" w:rsidP="00706A43">
      <w:r>
        <w:separator/>
      </w:r>
    </w:p>
  </w:footnote>
  <w:footnote w:type="continuationSeparator" w:id="0">
    <w:p w14:paraId="74E77515" w14:textId="77777777" w:rsidR="00400739" w:rsidRDefault="00400739" w:rsidP="00706A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2"/>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F72"/>
    <w:rsid w:val="00023CB3"/>
    <w:rsid w:val="00056EED"/>
    <w:rsid w:val="00074149"/>
    <w:rsid w:val="00086E83"/>
    <w:rsid w:val="0010524F"/>
    <w:rsid w:val="00163E92"/>
    <w:rsid w:val="001C717C"/>
    <w:rsid w:val="00204D75"/>
    <w:rsid w:val="00245547"/>
    <w:rsid w:val="003A4004"/>
    <w:rsid w:val="00400739"/>
    <w:rsid w:val="004303C1"/>
    <w:rsid w:val="0046780C"/>
    <w:rsid w:val="00497580"/>
    <w:rsid w:val="004B2945"/>
    <w:rsid w:val="004B7DAE"/>
    <w:rsid w:val="00524797"/>
    <w:rsid w:val="00593625"/>
    <w:rsid w:val="0064785D"/>
    <w:rsid w:val="00657842"/>
    <w:rsid w:val="0069409E"/>
    <w:rsid w:val="006A7AD9"/>
    <w:rsid w:val="00706A43"/>
    <w:rsid w:val="00724E2F"/>
    <w:rsid w:val="00767DD8"/>
    <w:rsid w:val="007764E0"/>
    <w:rsid w:val="007E5A30"/>
    <w:rsid w:val="008023D9"/>
    <w:rsid w:val="00843901"/>
    <w:rsid w:val="0087619A"/>
    <w:rsid w:val="008868EF"/>
    <w:rsid w:val="009000E4"/>
    <w:rsid w:val="009A1F8A"/>
    <w:rsid w:val="009F3FC3"/>
    <w:rsid w:val="00AA0F24"/>
    <w:rsid w:val="00AD1ECB"/>
    <w:rsid w:val="00B057A5"/>
    <w:rsid w:val="00B168F6"/>
    <w:rsid w:val="00B174D0"/>
    <w:rsid w:val="00B328A1"/>
    <w:rsid w:val="00BA2E6D"/>
    <w:rsid w:val="00C13278"/>
    <w:rsid w:val="00CB0595"/>
    <w:rsid w:val="00D22753"/>
    <w:rsid w:val="00D258A4"/>
    <w:rsid w:val="00D351C0"/>
    <w:rsid w:val="00D52EF0"/>
    <w:rsid w:val="00D63E44"/>
    <w:rsid w:val="00DD592C"/>
    <w:rsid w:val="00DF4EF4"/>
    <w:rsid w:val="00E134F3"/>
    <w:rsid w:val="00EA2128"/>
    <w:rsid w:val="00F26F72"/>
    <w:rsid w:val="00F92BAB"/>
    <w:rsid w:val="00FA64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A2F849"/>
  <w15:docId w15:val="{FE763B24-771C-4AA6-A2FB-7F776C23A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717C"/>
    <w:rPr>
      <w:sz w:val="24"/>
      <w:szCs w:val="24"/>
    </w:rPr>
  </w:style>
  <w:style w:type="paragraph" w:styleId="Heading1">
    <w:name w:val="heading 1"/>
    <w:basedOn w:val="Normal"/>
    <w:next w:val="Normal"/>
    <w:link w:val="Heading1Char"/>
    <w:uiPriority w:val="9"/>
    <w:qFormat/>
    <w:rsid w:val="001C717C"/>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1C717C"/>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1C717C"/>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1C717C"/>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1C717C"/>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1C717C"/>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1C717C"/>
    <w:pPr>
      <w:spacing w:before="240" w:after="60"/>
      <w:outlineLvl w:val="6"/>
    </w:pPr>
  </w:style>
  <w:style w:type="paragraph" w:styleId="Heading8">
    <w:name w:val="heading 8"/>
    <w:basedOn w:val="Normal"/>
    <w:next w:val="Normal"/>
    <w:link w:val="Heading8Char"/>
    <w:uiPriority w:val="9"/>
    <w:semiHidden/>
    <w:unhideWhenUsed/>
    <w:qFormat/>
    <w:rsid w:val="001C717C"/>
    <w:pPr>
      <w:spacing w:before="240" w:after="60"/>
      <w:outlineLvl w:val="7"/>
    </w:pPr>
    <w:rPr>
      <w:i/>
      <w:iCs/>
    </w:rPr>
  </w:style>
  <w:style w:type="paragraph" w:styleId="Heading9">
    <w:name w:val="heading 9"/>
    <w:basedOn w:val="Normal"/>
    <w:next w:val="Normal"/>
    <w:link w:val="Heading9Char"/>
    <w:uiPriority w:val="9"/>
    <w:semiHidden/>
    <w:unhideWhenUsed/>
    <w:qFormat/>
    <w:rsid w:val="001C717C"/>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1C717C"/>
    <w:rPr>
      <w:rFonts w:ascii="Cambria" w:eastAsia="Times New Roman" w:hAnsi="Cambria"/>
      <w:b/>
      <w:bCs/>
      <w:kern w:val="32"/>
      <w:sz w:val="32"/>
      <w:szCs w:val="32"/>
    </w:rPr>
  </w:style>
  <w:style w:type="character" w:customStyle="1" w:styleId="Heading2Char">
    <w:name w:val="Heading 2 Char"/>
    <w:link w:val="Heading2"/>
    <w:uiPriority w:val="9"/>
    <w:semiHidden/>
    <w:rsid w:val="001C717C"/>
    <w:rPr>
      <w:rFonts w:ascii="Cambria" w:eastAsia="Times New Roman" w:hAnsi="Cambria"/>
      <w:b/>
      <w:bCs/>
      <w:i/>
      <w:iCs/>
      <w:sz w:val="28"/>
      <w:szCs w:val="28"/>
    </w:rPr>
  </w:style>
  <w:style w:type="character" w:customStyle="1" w:styleId="Heading3Char">
    <w:name w:val="Heading 3 Char"/>
    <w:link w:val="Heading3"/>
    <w:uiPriority w:val="9"/>
    <w:semiHidden/>
    <w:rsid w:val="001C717C"/>
    <w:rPr>
      <w:rFonts w:ascii="Cambria" w:eastAsia="Times New Roman" w:hAnsi="Cambria"/>
      <w:b/>
      <w:bCs/>
      <w:sz w:val="26"/>
      <w:szCs w:val="26"/>
    </w:rPr>
  </w:style>
  <w:style w:type="character" w:customStyle="1" w:styleId="Heading4Char">
    <w:name w:val="Heading 4 Char"/>
    <w:link w:val="Heading4"/>
    <w:uiPriority w:val="9"/>
    <w:semiHidden/>
    <w:rsid w:val="001C717C"/>
    <w:rPr>
      <w:b/>
      <w:bCs/>
      <w:sz w:val="28"/>
      <w:szCs w:val="28"/>
    </w:rPr>
  </w:style>
  <w:style w:type="character" w:customStyle="1" w:styleId="Heading5Char">
    <w:name w:val="Heading 5 Char"/>
    <w:link w:val="Heading5"/>
    <w:uiPriority w:val="9"/>
    <w:semiHidden/>
    <w:rsid w:val="001C717C"/>
    <w:rPr>
      <w:b/>
      <w:bCs/>
      <w:i/>
      <w:iCs/>
      <w:sz w:val="26"/>
      <w:szCs w:val="26"/>
    </w:rPr>
  </w:style>
  <w:style w:type="character" w:customStyle="1" w:styleId="Heading6Char">
    <w:name w:val="Heading 6 Char"/>
    <w:link w:val="Heading6"/>
    <w:uiPriority w:val="9"/>
    <w:semiHidden/>
    <w:rsid w:val="001C717C"/>
    <w:rPr>
      <w:b/>
      <w:bCs/>
    </w:rPr>
  </w:style>
  <w:style w:type="character" w:customStyle="1" w:styleId="Heading7Char">
    <w:name w:val="Heading 7 Char"/>
    <w:link w:val="Heading7"/>
    <w:uiPriority w:val="9"/>
    <w:semiHidden/>
    <w:rsid w:val="001C717C"/>
    <w:rPr>
      <w:sz w:val="24"/>
      <w:szCs w:val="24"/>
    </w:rPr>
  </w:style>
  <w:style w:type="character" w:customStyle="1" w:styleId="Heading8Char">
    <w:name w:val="Heading 8 Char"/>
    <w:link w:val="Heading8"/>
    <w:uiPriority w:val="9"/>
    <w:semiHidden/>
    <w:rsid w:val="001C717C"/>
    <w:rPr>
      <w:i/>
      <w:iCs/>
      <w:sz w:val="24"/>
      <w:szCs w:val="24"/>
    </w:rPr>
  </w:style>
  <w:style w:type="character" w:customStyle="1" w:styleId="Heading9Char">
    <w:name w:val="Heading 9 Char"/>
    <w:link w:val="Heading9"/>
    <w:uiPriority w:val="9"/>
    <w:semiHidden/>
    <w:rsid w:val="001C717C"/>
    <w:rPr>
      <w:rFonts w:ascii="Cambria" w:eastAsia="Times New Roman" w:hAnsi="Cambria"/>
    </w:rPr>
  </w:style>
  <w:style w:type="paragraph" w:styleId="Title">
    <w:name w:val="Title"/>
    <w:basedOn w:val="Normal"/>
    <w:next w:val="Normal"/>
    <w:link w:val="TitleChar"/>
    <w:uiPriority w:val="10"/>
    <w:qFormat/>
    <w:rsid w:val="001C717C"/>
    <w:pPr>
      <w:spacing w:before="240" w:after="60"/>
      <w:jc w:val="center"/>
      <w:outlineLvl w:val="0"/>
    </w:pPr>
    <w:rPr>
      <w:rFonts w:ascii="Cambria" w:hAnsi="Cambria"/>
      <w:b/>
      <w:bCs/>
      <w:kern w:val="28"/>
      <w:sz w:val="32"/>
      <w:szCs w:val="32"/>
    </w:rPr>
  </w:style>
  <w:style w:type="character" w:customStyle="1" w:styleId="TitleChar">
    <w:name w:val="Title Char"/>
    <w:link w:val="Title"/>
    <w:uiPriority w:val="10"/>
    <w:rsid w:val="001C717C"/>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1C717C"/>
    <w:pPr>
      <w:spacing w:after="60"/>
      <w:jc w:val="center"/>
      <w:outlineLvl w:val="1"/>
    </w:pPr>
    <w:rPr>
      <w:rFonts w:ascii="Cambria" w:hAnsi="Cambria"/>
    </w:rPr>
  </w:style>
  <w:style w:type="character" w:customStyle="1" w:styleId="SubtitleChar">
    <w:name w:val="Subtitle Char"/>
    <w:link w:val="Subtitle"/>
    <w:uiPriority w:val="11"/>
    <w:rsid w:val="001C717C"/>
    <w:rPr>
      <w:rFonts w:ascii="Cambria" w:eastAsia="Times New Roman" w:hAnsi="Cambria"/>
      <w:sz w:val="24"/>
      <w:szCs w:val="24"/>
    </w:rPr>
  </w:style>
  <w:style w:type="character" w:styleId="Strong">
    <w:name w:val="Strong"/>
    <w:uiPriority w:val="22"/>
    <w:qFormat/>
    <w:rsid w:val="001C717C"/>
    <w:rPr>
      <w:b/>
      <w:bCs/>
    </w:rPr>
  </w:style>
  <w:style w:type="character" w:styleId="Emphasis">
    <w:name w:val="Emphasis"/>
    <w:uiPriority w:val="20"/>
    <w:qFormat/>
    <w:rsid w:val="001C717C"/>
    <w:rPr>
      <w:rFonts w:ascii="Calibri" w:hAnsi="Calibri"/>
      <w:b/>
      <w:i/>
      <w:iCs/>
    </w:rPr>
  </w:style>
  <w:style w:type="paragraph" w:styleId="NoSpacing">
    <w:name w:val="No Spacing"/>
    <w:basedOn w:val="Normal"/>
    <w:link w:val="NoSpacingChar"/>
    <w:uiPriority w:val="1"/>
    <w:qFormat/>
    <w:rsid w:val="001C717C"/>
    <w:rPr>
      <w:szCs w:val="32"/>
    </w:rPr>
  </w:style>
  <w:style w:type="paragraph" w:styleId="ListParagraph">
    <w:name w:val="List Paragraph"/>
    <w:basedOn w:val="Normal"/>
    <w:uiPriority w:val="34"/>
    <w:qFormat/>
    <w:rsid w:val="001C717C"/>
    <w:pPr>
      <w:ind w:left="720"/>
      <w:contextualSpacing/>
    </w:pPr>
  </w:style>
  <w:style w:type="paragraph" w:styleId="Quote">
    <w:name w:val="Quote"/>
    <w:basedOn w:val="Normal"/>
    <w:next w:val="Normal"/>
    <w:link w:val="QuoteChar"/>
    <w:uiPriority w:val="29"/>
    <w:qFormat/>
    <w:rsid w:val="001C717C"/>
    <w:rPr>
      <w:i/>
    </w:rPr>
  </w:style>
  <w:style w:type="character" w:customStyle="1" w:styleId="QuoteChar">
    <w:name w:val="Quote Char"/>
    <w:link w:val="Quote"/>
    <w:uiPriority w:val="29"/>
    <w:rsid w:val="001C717C"/>
    <w:rPr>
      <w:i/>
      <w:sz w:val="24"/>
      <w:szCs w:val="24"/>
    </w:rPr>
  </w:style>
  <w:style w:type="paragraph" w:styleId="IntenseQuote">
    <w:name w:val="Intense Quote"/>
    <w:basedOn w:val="Normal"/>
    <w:next w:val="Normal"/>
    <w:link w:val="IntenseQuoteChar"/>
    <w:uiPriority w:val="30"/>
    <w:qFormat/>
    <w:rsid w:val="001C717C"/>
    <w:pPr>
      <w:ind w:left="720" w:right="720"/>
    </w:pPr>
    <w:rPr>
      <w:b/>
      <w:i/>
      <w:szCs w:val="22"/>
    </w:rPr>
  </w:style>
  <w:style w:type="character" w:customStyle="1" w:styleId="IntenseQuoteChar">
    <w:name w:val="Intense Quote Char"/>
    <w:link w:val="IntenseQuote"/>
    <w:uiPriority w:val="30"/>
    <w:rsid w:val="001C717C"/>
    <w:rPr>
      <w:b/>
      <w:i/>
      <w:sz w:val="24"/>
    </w:rPr>
  </w:style>
  <w:style w:type="character" w:styleId="SubtleEmphasis">
    <w:name w:val="Subtle Emphasis"/>
    <w:uiPriority w:val="19"/>
    <w:qFormat/>
    <w:rsid w:val="001C717C"/>
    <w:rPr>
      <w:i/>
      <w:color w:val="5A5A5A"/>
    </w:rPr>
  </w:style>
  <w:style w:type="character" w:styleId="IntenseEmphasis">
    <w:name w:val="Intense Emphasis"/>
    <w:uiPriority w:val="21"/>
    <w:qFormat/>
    <w:rsid w:val="001C717C"/>
    <w:rPr>
      <w:b/>
      <w:i/>
      <w:sz w:val="24"/>
      <w:szCs w:val="24"/>
      <w:u w:val="single"/>
    </w:rPr>
  </w:style>
  <w:style w:type="character" w:styleId="SubtleReference">
    <w:name w:val="Subtle Reference"/>
    <w:uiPriority w:val="31"/>
    <w:qFormat/>
    <w:rsid w:val="001C717C"/>
    <w:rPr>
      <w:sz w:val="24"/>
      <w:szCs w:val="24"/>
      <w:u w:val="single"/>
    </w:rPr>
  </w:style>
  <w:style w:type="character" w:styleId="IntenseReference">
    <w:name w:val="Intense Reference"/>
    <w:uiPriority w:val="32"/>
    <w:qFormat/>
    <w:rsid w:val="001C717C"/>
    <w:rPr>
      <w:b/>
      <w:sz w:val="24"/>
      <w:u w:val="single"/>
    </w:rPr>
  </w:style>
  <w:style w:type="character" w:styleId="BookTitle">
    <w:name w:val="Book Title"/>
    <w:uiPriority w:val="33"/>
    <w:qFormat/>
    <w:rsid w:val="001C717C"/>
    <w:rPr>
      <w:rFonts w:ascii="Cambria" w:eastAsia="Times New Roman" w:hAnsi="Cambria"/>
      <w:b/>
      <w:i/>
      <w:sz w:val="24"/>
      <w:szCs w:val="24"/>
    </w:rPr>
  </w:style>
  <w:style w:type="paragraph" w:styleId="TOCHeading">
    <w:name w:val="TOC Heading"/>
    <w:basedOn w:val="Heading1"/>
    <w:next w:val="Normal"/>
    <w:uiPriority w:val="39"/>
    <w:semiHidden/>
    <w:unhideWhenUsed/>
    <w:qFormat/>
    <w:rsid w:val="001C717C"/>
    <w:pPr>
      <w:outlineLvl w:val="9"/>
    </w:pPr>
  </w:style>
  <w:style w:type="paragraph" w:styleId="BalloonText">
    <w:name w:val="Balloon Text"/>
    <w:basedOn w:val="Normal"/>
    <w:link w:val="BalloonTextChar"/>
    <w:uiPriority w:val="99"/>
    <w:semiHidden/>
    <w:unhideWhenUsed/>
    <w:rsid w:val="00F26F72"/>
    <w:rPr>
      <w:rFonts w:ascii="Tahoma" w:hAnsi="Tahoma" w:cs="Tahoma"/>
      <w:sz w:val="16"/>
      <w:szCs w:val="16"/>
    </w:rPr>
  </w:style>
  <w:style w:type="character" w:customStyle="1" w:styleId="BalloonTextChar">
    <w:name w:val="Balloon Text Char"/>
    <w:link w:val="BalloonText"/>
    <w:uiPriority w:val="99"/>
    <w:semiHidden/>
    <w:rsid w:val="00F26F72"/>
    <w:rPr>
      <w:rFonts w:ascii="Tahoma" w:hAnsi="Tahoma" w:cs="Tahoma"/>
      <w:sz w:val="16"/>
      <w:szCs w:val="16"/>
    </w:rPr>
  </w:style>
  <w:style w:type="character" w:customStyle="1" w:styleId="NoSpacingChar">
    <w:name w:val="No Spacing Char"/>
    <w:link w:val="NoSpacing"/>
    <w:uiPriority w:val="1"/>
    <w:rsid w:val="00F26F72"/>
    <w:rPr>
      <w:sz w:val="24"/>
      <w:szCs w:val="32"/>
    </w:rPr>
  </w:style>
  <w:style w:type="paragraph" w:styleId="FootnoteText">
    <w:name w:val="footnote text"/>
    <w:basedOn w:val="Normal"/>
    <w:link w:val="FootnoteTextChar"/>
    <w:uiPriority w:val="99"/>
    <w:unhideWhenUsed/>
    <w:rsid w:val="00706A43"/>
    <w:rPr>
      <w:sz w:val="20"/>
      <w:szCs w:val="20"/>
    </w:rPr>
  </w:style>
  <w:style w:type="character" w:customStyle="1" w:styleId="FootnoteTextChar">
    <w:name w:val="Footnote Text Char"/>
    <w:basedOn w:val="DefaultParagraphFont"/>
    <w:link w:val="FootnoteText"/>
    <w:uiPriority w:val="99"/>
    <w:rsid w:val="00706A43"/>
  </w:style>
  <w:style w:type="character" w:styleId="FootnoteReference">
    <w:name w:val="footnote reference"/>
    <w:uiPriority w:val="99"/>
    <w:unhideWhenUsed/>
    <w:rsid w:val="00706A43"/>
    <w:rPr>
      <w:vertAlign w:val="superscript"/>
    </w:rPr>
  </w:style>
  <w:style w:type="character" w:styleId="Hyperlink">
    <w:name w:val="Hyperlink"/>
    <w:uiPriority w:val="99"/>
    <w:unhideWhenUsed/>
    <w:rsid w:val="00706A43"/>
    <w:rPr>
      <w:color w:val="0563C1"/>
      <w:u w:val="single"/>
    </w:rPr>
  </w:style>
  <w:style w:type="paragraph" w:styleId="NormalWeb">
    <w:name w:val="Normal (Web)"/>
    <w:basedOn w:val="Normal"/>
    <w:uiPriority w:val="99"/>
    <w:unhideWhenUsed/>
    <w:rsid w:val="00706A43"/>
    <w:pPr>
      <w:spacing w:before="100" w:beforeAutospacing="1" w:after="100" w:afterAutospacing="1"/>
    </w:pPr>
    <w:rPr>
      <w:rFonts w:ascii="Times" w:hAnsi="Times"/>
      <w:sz w:val="20"/>
      <w:szCs w:val="20"/>
    </w:rPr>
  </w:style>
  <w:style w:type="character" w:styleId="HTMLCite">
    <w:name w:val="HTML Cite"/>
    <w:uiPriority w:val="99"/>
    <w:semiHidden/>
    <w:unhideWhenUsed/>
    <w:rsid w:val="00706A43"/>
    <w:rPr>
      <w:i/>
      <w:iCs/>
    </w:rPr>
  </w:style>
  <w:style w:type="paragraph" w:styleId="EndnoteText">
    <w:name w:val="endnote text"/>
    <w:basedOn w:val="Normal"/>
    <w:link w:val="EndnoteTextChar"/>
    <w:uiPriority w:val="99"/>
    <w:semiHidden/>
    <w:unhideWhenUsed/>
    <w:rsid w:val="00706A43"/>
    <w:rPr>
      <w:rFonts w:ascii="Times New Roman" w:hAnsi="Times New Roman"/>
      <w:sz w:val="20"/>
      <w:szCs w:val="20"/>
    </w:rPr>
  </w:style>
  <w:style w:type="character" w:customStyle="1" w:styleId="EndnoteTextChar">
    <w:name w:val="Endnote Text Char"/>
    <w:basedOn w:val="DefaultParagraphFont"/>
    <w:link w:val="EndnoteText"/>
    <w:uiPriority w:val="99"/>
    <w:semiHidden/>
    <w:rsid w:val="00706A43"/>
    <w:rPr>
      <w:rFonts w:ascii="Times New Roman" w:hAnsi="Times New Roman"/>
    </w:rPr>
  </w:style>
  <w:style w:type="character" w:styleId="EndnoteReference">
    <w:name w:val="endnote reference"/>
    <w:uiPriority w:val="99"/>
    <w:semiHidden/>
    <w:unhideWhenUsed/>
    <w:rsid w:val="00706A4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513649">
      <w:bodyDiv w:val="1"/>
      <w:marLeft w:val="0"/>
      <w:marRight w:val="0"/>
      <w:marTop w:val="0"/>
      <w:marBottom w:val="0"/>
      <w:divBdr>
        <w:top w:val="none" w:sz="0" w:space="0" w:color="auto"/>
        <w:left w:val="none" w:sz="0" w:space="0" w:color="auto"/>
        <w:bottom w:val="none" w:sz="0" w:space="0" w:color="auto"/>
        <w:right w:val="none" w:sz="0" w:space="0" w:color="auto"/>
      </w:divBdr>
    </w:div>
    <w:div w:id="411392502">
      <w:bodyDiv w:val="1"/>
      <w:marLeft w:val="0"/>
      <w:marRight w:val="0"/>
      <w:marTop w:val="0"/>
      <w:marBottom w:val="0"/>
      <w:divBdr>
        <w:top w:val="none" w:sz="0" w:space="0" w:color="auto"/>
        <w:left w:val="none" w:sz="0" w:space="0" w:color="auto"/>
        <w:bottom w:val="none" w:sz="0" w:space="0" w:color="auto"/>
        <w:right w:val="none" w:sz="0" w:space="0" w:color="auto"/>
      </w:divBdr>
    </w:div>
    <w:div w:id="648707868">
      <w:bodyDiv w:val="1"/>
      <w:marLeft w:val="0"/>
      <w:marRight w:val="0"/>
      <w:marTop w:val="0"/>
      <w:marBottom w:val="0"/>
      <w:divBdr>
        <w:top w:val="none" w:sz="0" w:space="0" w:color="auto"/>
        <w:left w:val="none" w:sz="0" w:space="0" w:color="auto"/>
        <w:bottom w:val="none" w:sz="0" w:space="0" w:color="auto"/>
        <w:right w:val="none" w:sz="0" w:space="0" w:color="auto"/>
      </w:divBdr>
    </w:div>
    <w:div w:id="889079124">
      <w:bodyDiv w:val="1"/>
      <w:marLeft w:val="0"/>
      <w:marRight w:val="0"/>
      <w:marTop w:val="0"/>
      <w:marBottom w:val="0"/>
      <w:divBdr>
        <w:top w:val="none" w:sz="0" w:space="0" w:color="auto"/>
        <w:left w:val="none" w:sz="0" w:space="0" w:color="auto"/>
        <w:bottom w:val="none" w:sz="0" w:space="0" w:color="auto"/>
        <w:right w:val="none" w:sz="0" w:space="0" w:color="auto"/>
      </w:divBdr>
    </w:div>
    <w:div w:id="1034622238">
      <w:bodyDiv w:val="1"/>
      <w:marLeft w:val="0"/>
      <w:marRight w:val="0"/>
      <w:marTop w:val="0"/>
      <w:marBottom w:val="0"/>
      <w:divBdr>
        <w:top w:val="none" w:sz="0" w:space="0" w:color="auto"/>
        <w:left w:val="none" w:sz="0" w:space="0" w:color="auto"/>
        <w:bottom w:val="none" w:sz="0" w:space="0" w:color="auto"/>
        <w:right w:val="none" w:sz="0" w:space="0" w:color="auto"/>
      </w:divBdr>
    </w:div>
    <w:div w:id="1151285399">
      <w:bodyDiv w:val="1"/>
      <w:marLeft w:val="0"/>
      <w:marRight w:val="0"/>
      <w:marTop w:val="0"/>
      <w:marBottom w:val="0"/>
      <w:divBdr>
        <w:top w:val="none" w:sz="0" w:space="0" w:color="auto"/>
        <w:left w:val="none" w:sz="0" w:space="0" w:color="auto"/>
        <w:bottom w:val="none" w:sz="0" w:space="0" w:color="auto"/>
        <w:right w:val="none" w:sz="0" w:space="0" w:color="auto"/>
      </w:divBdr>
    </w:div>
    <w:div w:id="1164783962">
      <w:bodyDiv w:val="1"/>
      <w:marLeft w:val="0"/>
      <w:marRight w:val="0"/>
      <w:marTop w:val="0"/>
      <w:marBottom w:val="0"/>
      <w:divBdr>
        <w:top w:val="none" w:sz="0" w:space="0" w:color="auto"/>
        <w:left w:val="none" w:sz="0" w:space="0" w:color="auto"/>
        <w:bottom w:val="none" w:sz="0" w:space="0" w:color="auto"/>
        <w:right w:val="none" w:sz="0" w:space="0" w:color="auto"/>
      </w:divBdr>
    </w:div>
    <w:div w:id="1274749763">
      <w:bodyDiv w:val="1"/>
      <w:marLeft w:val="0"/>
      <w:marRight w:val="0"/>
      <w:marTop w:val="0"/>
      <w:marBottom w:val="0"/>
      <w:divBdr>
        <w:top w:val="none" w:sz="0" w:space="0" w:color="auto"/>
        <w:left w:val="none" w:sz="0" w:space="0" w:color="auto"/>
        <w:bottom w:val="none" w:sz="0" w:space="0" w:color="auto"/>
        <w:right w:val="none" w:sz="0" w:space="0" w:color="auto"/>
      </w:divBdr>
    </w:div>
    <w:div w:id="1795172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_rels/endnotes.xml.rels><?xml version="1.0" encoding="UTF-8" standalone="yes"?>
<Relationships xmlns="http://schemas.openxmlformats.org/package/2006/relationships"><Relationship Id="rId8" Type="http://schemas.openxmlformats.org/officeDocument/2006/relationships/hyperlink" Target="https://academic.oup.com/painmedicine/article/20/3/429/5218985" TargetMode="External"/><Relationship Id="rId13" Type="http://schemas.openxmlformats.org/officeDocument/2006/relationships/hyperlink" Target="https://www.cdc.gov/mmwr/volumes/67/wr/mm6736a2.htm" TargetMode="External"/><Relationship Id="rId18" Type="http://schemas.openxmlformats.org/officeDocument/2006/relationships/hyperlink" Target="https://www.ncbi.nlm.nih.gov/pubmed/31002325" TargetMode="External"/><Relationship Id="rId3" Type="http://schemas.openxmlformats.org/officeDocument/2006/relationships/hyperlink" Target="https://www.hhs.gov/sites/default/files/pmtf-final-report-2019-05-23.pdf" TargetMode="External"/><Relationship Id="rId7" Type="http://schemas.openxmlformats.org/officeDocument/2006/relationships/hyperlink" Target="https://healthprofessionalsforpatientsinpain.org/the-letter-1" TargetMode="External"/><Relationship Id="rId12" Type="http://schemas.openxmlformats.org/officeDocument/2006/relationships/hyperlink" Target="https://www.painresearchforum.org/news/114939-not-all-pain-same-characterizing-extent-high-impact-chronic-pain" TargetMode="External"/><Relationship Id="rId17" Type="http://schemas.openxmlformats.org/officeDocument/2006/relationships/hyperlink" Target="https://www.ncbi.nlm.nih.gov/pubmed/28715842" TargetMode="External"/><Relationship Id="rId2" Type="http://schemas.openxmlformats.org/officeDocument/2006/relationships/hyperlink" Target="https://www.fda.gov/drugs/drug-safety-and-availability/fda-identifies-harm-reported-sudden-discontinuation-opioid-pain-medicines-and-requires-label-changes" TargetMode="External"/><Relationship Id="rId16" Type="http://schemas.openxmlformats.org/officeDocument/2006/relationships/hyperlink" Target="https://northcarolina.pmpaware.net/narx-content/content/narxcare2/explain-overdose-risk-score.pdf" TargetMode="External"/><Relationship Id="rId1" Type="http://schemas.openxmlformats.org/officeDocument/2006/relationships/hyperlink" Target="https://www.nejm.org/doi/full/10.1056/NEJMp1904190" TargetMode="External"/><Relationship Id="rId6" Type="http://schemas.openxmlformats.org/officeDocument/2006/relationships/hyperlink" Target="https://www.hrw.org/report/2018/12/18/not-allowed-be-compassionate/chronic-pain-overdose-crisis-and-unintended-harms-us" TargetMode="External"/><Relationship Id="rId11" Type="http://schemas.openxmlformats.org/officeDocument/2006/relationships/hyperlink" Target="https://www.samhsa.gov/data/data-we-collect/nsduh-national-survey-drug-use-and-health" TargetMode="External"/><Relationship Id="rId5" Type="http://schemas.openxmlformats.org/officeDocument/2006/relationships/hyperlink" Target="https://www.cdc.gov/mmwr/volumes/65/rr/rr6501e1.htm?CDC_AA_refVal=https%3A%2F%2Fwww.cdc.gov%2Fmmwr%2Fvolumes%2F65%2Frr%2Frr6501e1er.htm" TargetMode="External"/><Relationship Id="rId15" Type="http://schemas.openxmlformats.org/officeDocument/2006/relationships/hyperlink" Target="https://img1.wsimg.com/blobby/go/3d70257f-a143-4a5b-b9df-f7d265df0d3d/downloads/Alford%20Final%20.pdf?ver=1556148791199" TargetMode="External"/><Relationship Id="rId10" Type="http://schemas.openxmlformats.org/officeDocument/2006/relationships/hyperlink" Target="https://pdfs.semanticscholar.org/3013/5d7758acf3a0b7ee42da85617a252cbea2ed.pdf" TargetMode="External"/><Relationship Id="rId19" Type="http://schemas.openxmlformats.org/officeDocument/2006/relationships/hyperlink" Target="https://www.fda.gov/about-fda/reports/quantities-opioid-analgesics-dispensed-retail-pharmacies-approach-lowest-levels-15-years" TargetMode="External"/><Relationship Id="rId4" Type="http://schemas.openxmlformats.org/officeDocument/2006/relationships/hyperlink" Target="https://www.sciencedirect.com/science/article/pii/S0376871618307701" TargetMode="External"/><Relationship Id="rId9" Type="http://schemas.openxmlformats.org/officeDocument/2006/relationships/hyperlink" Target="https://www.ncbi.nlm.nih.gov/pubmed/24281273" TargetMode="External"/><Relationship Id="rId14" Type="http://schemas.openxmlformats.org/officeDocument/2006/relationships/hyperlink" Target="http://nationalacademies.org/hmd/~/media/Files/Activity%20Files/MentalHealth/OpioidRxGuidelines/Feb%202019%20workshop/Presentation/Throckmorto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967E346B791844F8C76010BBDB89443" ma:contentTypeVersion="16" ma:contentTypeDescription="Create a new document." ma:contentTypeScope="" ma:versionID="5c61764ec22ae9e5c9d701cd4ccc2ae3">
  <xsd:schema xmlns:xsd="http://www.w3.org/2001/XMLSchema" xmlns:xs="http://www.w3.org/2001/XMLSchema" xmlns:p="http://schemas.microsoft.com/office/2006/metadata/properties" xmlns:ns3="5223690c-7b5f-48bd-bba6-7e2d46ba9f36" xmlns:ns4="1dbaedb9-a879-4871-8bef-cce50b7d0c1e" targetNamespace="http://schemas.microsoft.com/office/2006/metadata/properties" ma:root="true" ma:fieldsID="cc44c9af8846700507f375d90e436f8b" ns3:_="" ns4:_="">
    <xsd:import namespace="5223690c-7b5f-48bd-bba6-7e2d46ba9f36"/>
    <xsd:import namespace="1dbaedb9-a879-4871-8bef-cce50b7d0c1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LengthInSeconds" minOccurs="0"/>
                <xsd:element ref="ns3:_activity" minOccurs="0"/>
                <xsd:element ref="ns3:MediaServiceObjectDetectorVersions" minOccurs="0"/>
                <xsd:element ref="ns3:MediaServiceSystemTags" minOccurs="0"/>
                <xsd:element ref="ns3:MediaServiceSearchPropertie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23690c-7b5f-48bd-bba6-7e2d46ba9f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5" nillable="true" ma:displayName="Location" ma:indexed="true" ma:internalName="MediaServiceLocatio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_activity" ma:index="17" nillable="true" ma:displayName="_activity" ma:hidden="true" ma:internalName="_activity">
      <xsd:simpleType>
        <xsd:restriction base="dms:Note"/>
      </xsd:simpleType>
    </xsd:element>
    <xsd:element name="MediaServiceObjectDetectorVersions" ma:index="18" nillable="true" ma:displayName="MediaServiceObjectDetectorVersions" ma:description="" ma:hidden="true" ma:indexed="true" ma:internalName="MediaServiceObjectDetectorVersions"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baedb9-a879-4871-8bef-cce50b7d0c1e" elementFormDefault="qualified">
    <xsd:import namespace="http://schemas.microsoft.com/office/2006/documentManagement/types"/>
    <xsd:import namespace="http://schemas.microsoft.com/office/infopath/2007/PartnerControls"/>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element name="SharingHintHash" ma:index="2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5223690c-7b5f-48bd-bba6-7e2d46ba9f36" xsi:nil="true"/>
  </documentManagement>
</p:properties>
</file>

<file path=customXml/itemProps1.xml><?xml version="1.0" encoding="utf-8"?>
<ds:datastoreItem xmlns:ds="http://schemas.openxmlformats.org/officeDocument/2006/customXml" ds:itemID="{8344E1FD-8369-466E-A3CA-748F9DA73F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23690c-7b5f-48bd-bba6-7e2d46ba9f36"/>
    <ds:schemaRef ds:uri="1dbaedb9-a879-4871-8bef-cce50b7d0c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B0120D8-510D-4A67-BB72-194F63F743B2}">
  <ds:schemaRefs>
    <ds:schemaRef ds:uri="http://schemas.microsoft.com/sharepoint/v3/contenttype/forms"/>
  </ds:schemaRefs>
</ds:datastoreItem>
</file>

<file path=customXml/itemProps3.xml><?xml version="1.0" encoding="utf-8"?>
<ds:datastoreItem xmlns:ds="http://schemas.openxmlformats.org/officeDocument/2006/customXml" ds:itemID="{9FAAF25D-1772-4E8C-BC39-7FC2161093A0}">
  <ds:schemaRefs>
    <ds:schemaRef ds:uri="http://purl.org/dc/terms/"/>
    <ds:schemaRef ds:uri="http://purl.org/dc/elements/1.1/"/>
    <ds:schemaRef ds:uri="1dbaedb9-a879-4871-8bef-cce50b7d0c1e"/>
    <ds:schemaRef ds:uri="http://schemas.microsoft.com/office/2006/metadata/properties"/>
    <ds:schemaRef ds:uri="http://purl.org/dc/dcmitype/"/>
    <ds:schemaRef ds:uri="http://www.w3.org/XML/1998/namespace"/>
    <ds:schemaRef ds:uri="http://schemas.microsoft.com/office/infopath/2007/PartnerControls"/>
    <ds:schemaRef ds:uri="http://schemas.microsoft.com/office/2006/documentManagement/types"/>
    <ds:schemaRef ds:uri="5223690c-7b5f-48bd-bba6-7e2d46ba9f36"/>
    <ds:schemaRef ds:uri="http://schemas.openxmlformats.org/package/2006/metadata/core-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2327</Words>
  <Characters>13265</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eleanor</dc:creator>
  <cp:lastModifiedBy>Eleanor Canter</cp:lastModifiedBy>
  <cp:revision>2</cp:revision>
  <cp:lastPrinted>2019-06-25T15:48:00Z</cp:lastPrinted>
  <dcterms:created xsi:type="dcterms:W3CDTF">2024-12-11T17:35:00Z</dcterms:created>
  <dcterms:modified xsi:type="dcterms:W3CDTF">2024-12-11T17:35:00Z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0x010100D967E346B791844F8C76010BBDB89443</vt:lpwstr>
  </property>
</Properties>
</file>